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32248" w14:textId="77777777" w:rsidR="00D503B8" w:rsidRDefault="00D503B8"/>
    <w:p w14:paraId="5CA6F035" w14:textId="77777777" w:rsidR="004A5D2C" w:rsidRDefault="004A5D2C"/>
    <w:p w14:paraId="0B5A091C" w14:textId="77777777" w:rsidR="0059652D" w:rsidRDefault="0059652D"/>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1911E9BB" w14:textId="77777777" w:rsidTr="001949B4">
        <w:trPr>
          <w:trHeight w:val="852"/>
          <w:jc w:val="center"/>
        </w:trPr>
        <w:tc>
          <w:tcPr>
            <w:tcW w:w="6940" w:type="dxa"/>
            <w:vMerge w:val="restart"/>
            <w:tcBorders>
              <w:right w:val="single" w:sz="4" w:space="0" w:color="auto"/>
            </w:tcBorders>
          </w:tcPr>
          <w:p w14:paraId="181C2136"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7F88B488" wp14:editId="3A82BDD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14:paraId="0A32C446" w14:textId="77777777"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B48F9">
              <w:rPr>
                <w:rFonts w:cs="Arial"/>
                <w:b/>
                <w:bCs/>
                <w:i/>
                <w:iCs/>
                <w:color w:val="000066"/>
                <w:sz w:val="22"/>
                <w:szCs w:val="22"/>
                <w:lang w:eastAsia="it-IT"/>
              </w:rPr>
              <w:t>,</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8A078FC"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1F4E474C" w14:textId="77777777" w:rsidR="000A03B2" w:rsidRPr="00B57B36" w:rsidRDefault="000A03B2" w:rsidP="00CD5FE2">
            <w:pPr>
              <w:jc w:val="right"/>
            </w:pPr>
            <w:r w:rsidRPr="00B57B36">
              <w:rPr>
                <w:noProof/>
                <w:lang w:eastAsia="en-GB"/>
              </w:rPr>
              <w:drawing>
                <wp:inline distT="0" distB="0" distL="0" distR="0" wp14:anchorId="44B8D0DE" wp14:editId="0131BB9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4EA513E7" w14:textId="77777777" w:rsidTr="001949B4">
        <w:trPr>
          <w:trHeight w:val="567"/>
          <w:jc w:val="center"/>
        </w:trPr>
        <w:tc>
          <w:tcPr>
            <w:tcW w:w="6940" w:type="dxa"/>
            <w:vMerge/>
            <w:tcBorders>
              <w:right w:val="single" w:sz="4" w:space="0" w:color="auto"/>
            </w:tcBorders>
          </w:tcPr>
          <w:p w14:paraId="5F406A79"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5417EFF"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CB1CAB5"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BBA8C4C" w14:textId="77777777"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450263D7" w14:textId="77777777" w:rsidTr="001949B4">
        <w:trPr>
          <w:trHeight w:val="68"/>
          <w:jc w:val="center"/>
        </w:trPr>
        <w:tc>
          <w:tcPr>
            <w:tcW w:w="8782" w:type="dxa"/>
            <w:gridSpan w:val="2"/>
          </w:tcPr>
          <w:p w14:paraId="2DF96C05" w14:textId="13174374"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00FC14B8">
              <w:rPr>
                <w:rFonts w:ascii="Tahoma" w:hAnsi="Tahoma" w:cs="Tahoma"/>
                <w:iCs/>
                <w:color w:val="333333"/>
                <w:sz w:val="14"/>
                <w:szCs w:val="14"/>
                <w:lang w:eastAsia="it-IT"/>
              </w:rPr>
              <w:t xml:space="preserve"> </w:t>
            </w:r>
            <w:r w:rsidR="006A23E9" w:rsidRPr="00946B70">
              <w:rPr>
                <w:rFonts w:ascii="Tahoma" w:hAnsi="Tahoma" w:cs="Tahoma"/>
                <w:color w:val="000000"/>
                <w:sz w:val="14"/>
                <w:szCs w:val="14"/>
                <w:shd w:val="clear" w:color="auto" w:fill="FFFFFF"/>
              </w:rPr>
              <w:t xml:space="preserve">Leonardo Tognotti, </w:t>
            </w:r>
            <w:r w:rsidR="006A23E9" w:rsidRPr="00946B70">
              <w:rPr>
                <w:rFonts w:ascii="Tahoma" w:hAnsi="Tahoma" w:cs="Tahoma"/>
                <w:color w:val="000000"/>
                <w:sz w:val="14"/>
                <w:szCs w:val="14"/>
              </w:rPr>
              <w:t>Rubens Maciel</w:t>
            </w:r>
            <w:r w:rsidR="00FC14B8">
              <w:rPr>
                <w:rFonts w:ascii="Tahoma" w:hAnsi="Tahoma" w:cs="Tahoma"/>
                <w:color w:val="000000"/>
                <w:sz w:val="14"/>
                <w:szCs w:val="14"/>
              </w:rPr>
              <w:t xml:space="preserve"> </w:t>
            </w:r>
            <w:r w:rsidR="006A23E9" w:rsidRPr="00946B70">
              <w:rPr>
                <w:rFonts w:ascii="Tahoma" w:hAnsi="Tahoma" w:cs="Tahoma"/>
                <w:color w:val="000000"/>
                <w:sz w:val="14"/>
                <w:szCs w:val="14"/>
              </w:rPr>
              <w:t>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Viatcheslav</w:t>
            </w:r>
            <w:r w:rsidR="00FC14B8">
              <w:rPr>
                <w:rFonts w:ascii="Tahoma" w:hAnsi="Tahoma" w:cs="Tahoma"/>
                <w:color w:val="000000"/>
                <w:sz w:val="14"/>
                <w:szCs w:val="14"/>
              </w:rPr>
              <w:t xml:space="preserve"> </w:t>
            </w:r>
            <w:r w:rsidR="006A23E9" w:rsidRPr="00946B70">
              <w:rPr>
                <w:rFonts w:ascii="Tahoma" w:hAnsi="Tahoma" w:cs="Tahoma"/>
                <w:color w:val="000000"/>
                <w:sz w:val="14"/>
                <w:szCs w:val="14"/>
              </w:rPr>
              <w:t>Kafarov</w:t>
            </w:r>
          </w:p>
          <w:p w14:paraId="54B1D342" w14:textId="77777777"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07BD1948" w14:textId="77777777" w:rsidR="00E978D0" w:rsidRPr="009823BA" w:rsidRDefault="00280910" w:rsidP="00E978D0">
      <w:pPr>
        <w:pStyle w:val="CETTitle"/>
        <w:rPr>
          <w:rFonts w:cs="Arial"/>
          <w:szCs w:val="32"/>
        </w:rPr>
      </w:pPr>
      <w:r w:rsidRPr="009823BA">
        <w:rPr>
          <w:rFonts w:cs="Arial"/>
          <w:szCs w:val="32"/>
          <w:lang w:val="en-US"/>
        </w:rPr>
        <w:t>Ethy</w:t>
      </w:r>
      <w:r w:rsidR="001949B4" w:rsidRPr="009823BA">
        <w:rPr>
          <w:rFonts w:cs="Arial"/>
          <w:szCs w:val="32"/>
          <w:lang w:val="en-US"/>
        </w:rPr>
        <w:t>l-Levulinate: a Flexible Bio-Fuel for Internal Combustion Engines</w:t>
      </w:r>
    </w:p>
    <w:p w14:paraId="7C7FA164" w14:textId="77777777" w:rsidR="00B57E6F" w:rsidRPr="00431884" w:rsidRDefault="0022254A" w:rsidP="00B57E6F">
      <w:pPr>
        <w:pStyle w:val="CETAuthors"/>
        <w:rPr>
          <w:lang w:val="it-IT"/>
        </w:rPr>
      </w:pPr>
      <w:r w:rsidRPr="00431884">
        <w:rPr>
          <w:lang w:val="it-IT"/>
        </w:rPr>
        <w:t>Anna Maria Raspolli Galletti</w:t>
      </w:r>
      <w:r w:rsidR="00B57E6F" w:rsidRPr="00431884">
        <w:rPr>
          <w:vertAlign w:val="superscript"/>
          <w:lang w:val="it-IT"/>
        </w:rPr>
        <w:t>a</w:t>
      </w:r>
      <w:r w:rsidR="00B57E6F" w:rsidRPr="00431884">
        <w:rPr>
          <w:lang w:val="it-IT"/>
        </w:rPr>
        <w:t xml:space="preserve">, </w:t>
      </w:r>
      <w:r w:rsidR="00431884" w:rsidRPr="00431884">
        <w:rPr>
          <w:lang w:val="it-IT"/>
        </w:rPr>
        <w:t>Lorenzo Bonaldi</w:t>
      </w:r>
      <w:r w:rsidR="00431884" w:rsidRPr="00431884">
        <w:rPr>
          <w:vertAlign w:val="superscript"/>
          <w:lang w:val="it-IT"/>
        </w:rPr>
        <w:t>a</w:t>
      </w:r>
      <w:r w:rsidR="00431884" w:rsidRPr="00431884">
        <w:rPr>
          <w:lang w:val="it-IT"/>
        </w:rPr>
        <w:t xml:space="preserve">, </w:t>
      </w:r>
      <w:r w:rsidRPr="00431884">
        <w:rPr>
          <w:lang w:val="it-IT"/>
        </w:rPr>
        <w:t>Stefano Frigo</w:t>
      </w:r>
      <w:r w:rsidR="00B57E6F" w:rsidRPr="00431884">
        <w:rPr>
          <w:vertAlign w:val="superscript"/>
          <w:lang w:val="it-IT"/>
        </w:rPr>
        <w:t>b,</w:t>
      </w:r>
      <w:r w:rsidR="00B57E6F" w:rsidRPr="00431884">
        <w:rPr>
          <w:lang w:val="it-IT"/>
        </w:rPr>
        <w:t xml:space="preserve">*, </w:t>
      </w:r>
      <w:r w:rsidR="00431884">
        <w:rPr>
          <w:lang w:val="it-IT"/>
        </w:rPr>
        <w:t>Marco Francesconi</w:t>
      </w:r>
      <w:r w:rsidR="00431884" w:rsidRPr="00431884">
        <w:rPr>
          <w:vertAlign w:val="superscript"/>
          <w:lang w:val="it-IT"/>
        </w:rPr>
        <w:t>b</w:t>
      </w:r>
    </w:p>
    <w:p w14:paraId="475F690C" w14:textId="77777777" w:rsidR="00B57E6F" w:rsidRPr="00B57B36" w:rsidRDefault="00B57E6F" w:rsidP="00B57E6F">
      <w:pPr>
        <w:pStyle w:val="CETAddress"/>
      </w:pPr>
      <w:r w:rsidRPr="00B57B36">
        <w:rPr>
          <w:vertAlign w:val="superscript"/>
        </w:rPr>
        <w:t>a</w:t>
      </w:r>
      <w:r w:rsidR="00431884" w:rsidRPr="00431884">
        <w:rPr>
          <w:rFonts w:cs="Arial"/>
        </w:rPr>
        <w:t>Department of Chemistry and Industrial Chemistry – University of Pisa</w:t>
      </w:r>
    </w:p>
    <w:p w14:paraId="324DC49B" w14:textId="77777777" w:rsidR="00B57E6F" w:rsidRPr="00B57B36" w:rsidRDefault="00B57E6F" w:rsidP="00B57E6F">
      <w:pPr>
        <w:pStyle w:val="CETAddress"/>
      </w:pPr>
      <w:r w:rsidRPr="00B57B36">
        <w:rPr>
          <w:vertAlign w:val="superscript"/>
        </w:rPr>
        <w:t>b</w:t>
      </w:r>
      <w:r w:rsidR="00431884" w:rsidRPr="00431884">
        <w:rPr>
          <w:rFonts w:cs="Arial"/>
          <w:szCs w:val="16"/>
        </w:rPr>
        <w:t>Department of Energy, System, Territory and Construction Engineering – University of Pisa</w:t>
      </w:r>
    </w:p>
    <w:p w14:paraId="6C7C4094" w14:textId="77777777" w:rsidR="00B57E6F" w:rsidRPr="00B57B36" w:rsidRDefault="00431884" w:rsidP="00431884">
      <w:pPr>
        <w:pStyle w:val="CETemail"/>
      </w:pPr>
      <w:r>
        <w:t>*</w:t>
      </w:r>
      <w:r w:rsidR="0022254A">
        <w:t>email corresponding author: stefano.frigo</w:t>
      </w:r>
      <w:r w:rsidR="00B57E6F" w:rsidRPr="00B57B36">
        <w:t>@</w:t>
      </w:r>
      <w:r w:rsidR="0022254A">
        <w:t>unipi.it</w:t>
      </w:r>
    </w:p>
    <w:p w14:paraId="75C65889" w14:textId="77777777" w:rsidR="00E0560B" w:rsidRPr="00E0560B" w:rsidRDefault="00E0560B" w:rsidP="00575AA4">
      <w:pPr>
        <w:pStyle w:val="RSCR02References"/>
        <w:numPr>
          <w:ilvl w:val="0"/>
          <w:numId w:val="0"/>
        </w:numPr>
        <w:shd w:val="clear" w:color="auto" w:fill="FFFFFF"/>
        <w:spacing w:line="264" w:lineRule="auto"/>
        <w:rPr>
          <w:rFonts w:ascii="Arial" w:hAnsi="Arial" w:cs="Arial"/>
        </w:rPr>
      </w:pPr>
      <w:r w:rsidRPr="00E0560B">
        <w:rPr>
          <w:rFonts w:ascii="Arial" w:hAnsi="Arial" w:cs="Arial"/>
        </w:rPr>
        <w:t>Bio-fuels represent a concrete alternative to fossil fuels for land and air transport, which allow a drastic reduction of CO</w:t>
      </w:r>
      <w:r w:rsidRPr="00E0560B">
        <w:rPr>
          <w:rFonts w:ascii="Arial" w:hAnsi="Arial" w:cs="Arial"/>
          <w:vertAlign w:val="subscript"/>
        </w:rPr>
        <w:t>2</w:t>
      </w:r>
      <w:r w:rsidRPr="00E0560B">
        <w:rPr>
          <w:rFonts w:ascii="Arial" w:hAnsi="Arial" w:cs="Arial"/>
        </w:rPr>
        <w:t xml:space="preserve"> emissions and, to a lesser extent, of CO and particulate matter. Second generation bio-fuels (obtained from non-food matrices) are attracting more and more attention in these last years, especially oxygenated alcohols and esters obtained from residual biomasses.</w:t>
      </w:r>
    </w:p>
    <w:p w14:paraId="553F79D4" w14:textId="77777777" w:rsidR="00E0560B" w:rsidRPr="00575AA4" w:rsidRDefault="00E0560B" w:rsidP="00575AA4">
      <w:pPr>
        <w:shd w:val="clear" w:color="auto" w:fill="FFFFFF"/>
        <w:rPr>
          <w:rFonts w:cs="Arial"/>
          <w:szCs w:val="18"/>
          <w:lang w:val="en-US"/>
        </w:rPr>
      </w:pPr>
      <w:r w:rsidRPr="00E0560B">
        <w:rPr>
          <w:rFonts w:cs="Arial"/>
          <w:szCs w:val="18"/>
        </w:rPr>
        <w:t>The present study analyses the synthesis and utilisation of e</w:t>
      </w:r>
      <w:r w:rsidRPr="00E0560B">
        <w:rPr>
          <w:rFonts w:cs="Arial"/>
          <w:szCs w:val="18"/>
          <w:lang w:val="en-US"/>
        </w:rPr>
        <w:t xml:space="preserve">thyl levulinate (EL), a versatile second generation bio-blendstock that can </w:t>
      </w:r>
      <w:r>
        <w:rPr>
          <w:rFonts w:cs="Arial"/>
          <w:szCs w:val="18"/>
          <w:lang w:val="en-US"/>
        </w:rPr>
        <w:t xml:space="preserve">also </w:t>
      </w:r>
      <w:r w:rsidRPr="00E0560B">
        <w:rPr>
          <w:rFonts w:cs="Arial"/>
          <w:szCs w:val="18"/>
          <w:lang w:val="en-US"/>
        </w:rPr>
        <w:t>be used</w:t>
      </w:r>
      <w:r>
        <w:rPr>
          <w:rFonts w:cs="Arial"/>
          <w:szCs w:val="18"/>
          <w:lang w:val="en-US"/>
        </w:rPr>
        <w:t>, among other things,</w:t>
      </w:r>
      <w:r w:rsidRPr="00E0560B">
        <w:rPr>
          <w:rFonts w:cs="Arial"/>
          <w:szCs w:val="18"/>
          <w:lang w:val="en-US"/>
        </w:rPr>
        <w:t xml:space="preserve"> as fuel additive in Diesel/gasoline engines. Its synthesis is a one-step process, the direct alcoholysis of glucose-based substrates, as model sugars but also raw or waste biomasses. </w:t>
      </w:r>
      <w:r w:rsidRPr="00575AA4">
        <w:rPr>
          <w:rFonts w:cs="Arial"/>
          <w:szCs w:val="18"/>
          <w:lang w:val="en-US"/>
        </w:rPr>
        <w:t>The process takes place in the presence of ethanol which acts as reactant/reaction medium and of an acid catalyst. In particular, an investigation of defatted cardoon ethanolysis was performed and a proper optimization of the main reaction conditions, as substrate concentration, duration, temperature, type and concentration of the acid catalyst, has been analyzed in order to improve EL yield.</w:t>
      </w:r>
    </w:p>
    <w:p w14:paraId="7F318FCE" w14:textId="77777777" w:rsidR="00E0560B" w:rsidRPr="00E0560B" w:rsidRDefault="00E0560B" w:rsidP="00575AA4">
      <w:pPr>
        <w:pStyle w:val="CETBodytext"/>
        <w:rPr>
          <w:rFonts w:cs="Arial"/>
          <w:szCs w:val="18"/>
        </w:rPr>
      </w:pPr>
      <w:r w:rsidRPr="00575AA4">
        <w:rPr>
          <w:rFonts w:cs="Arial"/>
          <w:szCs w:val="18"/>
        </w:rPr>
        <w:t>The possibility of using EL as bio-blendstock in Internal Combustion Engines was analy</w:t>
      </w:r>
      <w:r w:rsidR="00937AD9" w:rsidRPr="00575AA4">
        <w:rPr>
          <w:rFonts w:cs="Arial"/>
          <w:szCs w:val="18"/>
        </w:rPr>
        <w:t>z</w:t>
      </w:r>
      <w:r w:rsidRPr="00575AA4">
        <w:rPr>
          <w:rFonts w:cs="Arial"/>
          <w:szCs w:val="18"/>
        </w:rPr>
        <w:t xml:space="preserve">ed </w:t>
      </w:r>
      <w:r w:rsidR="00D64097" w:rsidRPr="00575AA4">
        <w:rPr>
          <w:rFonts w:cs="Arial"/>
          <w:szCs w:val="18"/>
        </w:rPr>
        <w:t>as well utilizing</w:t>
      </w:r>
      <w:r w:rsidR="0000453C" w:rsidRPr="00575AA4">
        <w:rPr>
          <w:rFonts w:cs="Arial"/>
          <w:szCs w:val="18"/>
        </w:rPr>
        <w:t xml:space="preserve"> </w:t>
      </w:r>
      <w:r w:rsidR="00937AD9" w:rsidRPr="00575AA4">
        <w:rPr>
          <w:rFonts w:cs="Arial"/>
          <w:szCs w:val="18"/>
        </w:rPr>
        <w:t>a gasoline engine</w:t>
      </w:r>
      <w:r w:rsidRPr="00575AA4">
        <w:rPr>
          <w:rFonts w:cs="Arial"/>
          <w:szCs w:val="18"/>
        </w:rPr>
        <w:t xml:space="preserve">. </w:t>
      </w:r>
      <w:r w:rsidR="00937AD9" w:rsidRPr="00575AA4">
        <w:rPr>
          <w:rFonts w:cs="Arial"/>
          <w:szCs w:val="18"/>
        </w:rPr>
        <w:t>R</w:t>
      </w:r>
      <w:r w:rsidRPr="00575AA4">
        <w:rPr>
          <w:rFonts w:cs="Arial"/>
          <w:szCs w:val="18"/>
        </w:rPr>
        <w:t>esults have shown that EL can be used as a fuel additive blended at 10% by volume, without significant changes in engine performance, with beneficial effects on the red</w:t>
      </w:r>
      <w:r w:rsidRPr="00E0560B">
        <w:rPr>
          <w:rFonts w:cs="Arial"/>
          <w:szCs w:val="18"/>
        </w:rPr>
        <w:t>uction of CO and HC emissions.</w:t>
      </w:r>
    </w:p>
    <w:p w14:paraId="2B66D137" w14:textId="77777777" w:rsidR="00600535" w:rsidRPr="00B57B36" w:rsidRDefault="00600535" w:rsidP="00575AA4">
      <w:pPr>
        <w:pStyle w:val="CETHeading1"/>
        <w:spacing w:line="264" w:lineRule="auto"/>
        <w:rPr>
          <w:lang w:val="en-GB"/>
        </w:rPr>
      </w:pPr>
      <w:r w:rsidRPr="00B57B36">
        <w:rPr>
          <w:lang w:val="en-GB"/>
        </w:rPr>
        <w:t>Introduction</w:t>
      </w:r>
    </w:p>
    <w:p w14:paraId="2274FCBB" w14:textId="5571295F" w:rsidR="00E0560B" w:rsidRPr="00E0560B" w:rsidRDefault="00E0560B" w:rsidP="00575AA4">
      <w:pPr>
        <w:pStyle w:val="RSCR02References"/>
        <w:numPr>
          <w:ilvl w:val="0"/>
          <w:numId w:val="0"/>
        </w:numPr>
        <w:shd w:val="clear" w:color="auto" w:fill="FFFFFF"/>
        <w:spacing w:line="264" w:lineRule="auto"/>
        <w:rPr>
          <w:rFonts w:ascii="Arial" w:hAnsi="Arial" w:cs="Arial"/>
        </w:rPr>
      </w:pPr>
      <w:r w:rsidRPr="00E0560B">
        <w:rPr>
          <w:rFonts w:ascii="Arial" w:hAnsi="Arial" w:cs="Arial"/>
        </w:rPr>
        <w:t>Bio-fuels represent a concrete alternative to fossil fuels for land and air transport, which allow a drastic reduction of CO</w:t>
      </w:r>
      <w:r w:rsidRPr="00E0560B">
        <w:rPr>
          <w:rFonts w:ascii="Arial" w:hAnsi="Arial" w:cs="Arial"/>
          <w:vertAlign w:val="subscript"/>
        </w:rPr>
        <w:t>2</w:t>
      </w:r>
      <w:r w:rsidRPr="00E0560B">
        <w:rPr>
          <w:rFonts w:ascii="Arial" w:hAnsi="Arial" w:cs="Arial"/>
        </w:rPr>
        <w:t xml:space="preserve"> emissions and, to a lesser extent, of CO and particulate matter </w:t>
      </w:r>
      <w:r w:rsidR="00775E34">
        <w:rPr>
          <w:rFonts w:ascii="Arial" w:hAnsi="Arial" w:cs="Arial"/>
        </w:rPr>
        <w:t>(Azad, 2019)</w:t>
      </w:r>
      <w:r w:rsidRPr="00E0560B">
        <w:rPr>
          <w:rFonts w:ascii="Arial" w:hAnsi="Arial" w:cs="Arial"/>
        </w:rPr>
        <w:t>. In the last years, there has been an ever-increasing interest on the development of second generation bio-fuels (obtained from non-food matrices), as evidenced by the large scientific li</w:t>
      </w:r>
      <w:r w:rsidR="00775E34">
        <w:rPr>
          <w:rFonts w:ascii="Arial" w:hAnsi="Arial" w:cs="Arial"/>
        </w:rPr>
        <w:t>terature produced (Alalwan et al., 2019; Bae et al. 2017; Mwangi et al., 2015; Kumar et al., 2021)</w:t>
      </w:r>
      <w:r w:rsidRPr="00E0560B">
        <w:rPr>
          <w:rFonts w:ascii="Arial" w:hAnsi="Arial" w:cs="Arial"/>
        </w:rPr>
        <w:t>. Among these ones, oxygenated alcohols and esters, obtained from residual biomasses,</w:t>
      </w:r>
      <w:r w:rsidR="00775E34">
        <w:rPr>
          <w:rFonts w:ascii="Arial" w:hAnsi="Arial" w:cs="Arial"/>
        </w:rPr>
        <w:t xml:space="preserve"> appear extremely promising (Ashokkumar et al., 202</w:t>
      </w:r>
      <w:r w:rsidR="007F6D35">
        <w:rPr>
          <w:rFonts w:ascii="Arial" w:hAnsi="Arial" w:cs="Arial"/>
        </w:rPr>
        <w:t>2</w:t>
      </w:r>
      <w:r w:rsidR="00775E34">
        <w:rPr>
          <w:rFonts w:ascii="Arial" w:hAnsi="Arial" w:cs="Arial"/>
        </w:rPr>
        <w:t xml:space="preserve">; </w:t>
      </w:r>
      <w:r w:rsidR="00450F5F" w:rsidRPr="006E07FD">
        <w:rPr>
          <w:rFonts w:ascii="Arial" w:hAnsi="Arial" w:cs="Arial"/>
        </w:rPr>
        <w:t>Çelebia</w:t>
      </w:r>
      <w:r w:rsidR="00223207">
        <w:rPr>
          <w:rFonts w:ascii="Arial" w:hAnsi="Arial" w:cs="Arial"/>
        </w:rPr>
        <w:t xml:space="preserve"> et al., 2019</w:t>
      </w:r>
      <w:r w:rsidR="00775E34">
        <w:rPr>
          <w:rFonts w:ascii="Arial" w:hAnsi="Arial" w:cs="Arial"/>
        </w:rPr>
        <w:t>; Koivisto et al., 2015; Lei et al., 2016)</w:t>
      </w:r>
      <w:r w:rsidRPr="00E0560B">
        <w:rPr>
          <w:rFonts w:ascii="Arial" w:hAnsi="Arial" w:cs="Arial"/>
        </w:rPr>
        <w:t>.</w:t>
      </w:r>
    </w:p>
    <w:p w14:paraId="03382D13" w14:textId="23980C63" w:rsidR="00921EF4" w:rsidRDefault="00E0560B" w:rsidP="00575AA4">
      <w:pPr>
        <w:pStyle w:val="Paragrafoelenco"/>
        <w:shd w:val="clear" w:color="auto" w:fill="FFFFFF"/>
        <w:ind w:left="0"/>
        <w:rPr>
          <w:rFonts w:cs="Arial"/>
          <w:szCs w:val="18"/>
          <w:lang w:val="en-US"/>
        </w:rPr>
      </w:pPr>
      <w:r w:rsidRPr="00E0560B">
        <w:rPr>
          <w:rFonts w:cs="Arial"/>
          <w:szCs w:val="18"/>
        </w:rPr>
        <w:t>The present study analyses the synthesis and utilisation of e</w:t>
      </w:r>
      <w:r w:rsidRPr="00E0560B">
        <w:rPr>
          <w:rFonts w:cs="Arial"/>
          <w:szCs w:val="18"/>
          <w:lang w:val="en-US"/>
        </w:rPr>
        <w:t xml:space="preserve">thyl levulinate (EL), a versatile second generation bio-blendstock that can be used in Diesel/gasoline engines, but also a strategic intermediate for the obtainment of </w:t>
      </w:r>
      <w:r w:rsidR="007445A9">
        <w:rPr>
          <w:rFonts w:cs="Arial"/>
          <w:szCs w:val="18"/>
          <w:lang w:val="en-US"/>
        </w:rPr>
        <w:t xml:space="preserve">green solvents, </w:t>
      </w:r>
      <w:r w:rsidRPr="00E0560B">
        <w:rPr>
          <w:rFonts w:cs="Arial"/>
          <w:szCs w:val="18"/>
          <w:lang w:val="en-US"/>
        </w:rPr>
        <w:t>polymers, surfactants, plasticizers, and pharmaceuticals</w:t>
      </w:r>
      <w:r w:rsidR="0059652D">
        <w:rPr>
          <w:rFonts w:cs="Arial"/>
          <w:szCs w:val="18"/>
          <w:lang w:val="en-US"/>
        </w:rPr>
        <w:t xml:space="preserve"> (Shan et al., 2023)</w:t>
      </w:r>
      <w:r w:rsidRPr="00E0560B">
        <w:rPr>
          <w:rFonts w:cs="Arial"/>
          <w:szCs w:val="18"/>
          <w:lang w:val="en-US"/>
        </w:rPr>
        <w:t xml:space="preserve">. </w:t>
      </w:r>
      <w:r w:rsidR="00DF417D" w:rsidRPr="003D2F2D">
        <w:rPr>
          <w:rFonts w:cs="Arial"/>
          <w:szCs w:val="18"/>
          <w:lang w:val="en-US"/>
        </w:rPr>
        <w:t>EL can be obtained from esterification of pure levulinic acid or adopting the direct one-step ethanolysis</w:t>
      </w:r>
      <w:r w:rsidR="00DF417D">
        <w:rPr>
          <w:rFonts w:cs="Arial"/>
          <w:szCs w:val="18"/>
          <w:lang w:val="en-US"/>
        </w:rPr>
        <w:t xml:space="preserve"> </w:t>
      </w:r>
      <w:r w:rsidR="00DF417D" w:rsidRPr="003D2F2D">
        <w:rPr>
          <w:rFonts w:cs="Arial"/>
          <w:szCs w:val="18"/>
          <w:lang w:val="en-US"/>
        </w:rPr>
        <w:t xml:space="preserve">of C6 model sugars and also of </w:t>
      </w:r>
      <w:r w:rsidR="00DF417D">
        <w:rPr>
          <w:rFonts w:cs="Arial"/>
          <w:szCs w:val="18"/>
          <w:lang w:val="en-US"/>
        </w:rPr>
        <w:t>solid</w:t>
      </w:r>
      <w:r w:rsidR="00DF417D" w:rsidRPr="003D2F2D">
        <w:rPr>
          <w:rFonts w:cs="Arial"/>
          <w:szCs w:val="18"/>
          <w:lang w:val="en-US"/>
        </w:rPr>
        <w:t xml:space="preserve"> biomasses. This last approach appears particularly attractive when raw or waste biomasses,</w:t>
      </w:r>
      <w:r w:rsidR="00921EF4">
        <w:rPr>
          <w:rFonts w:cs="Arial"/>
          <w:szCs w:val="18"/>
          <w:lang w:val="en-US"/>
        </w:rPr>
        <w:t xml:space="preserve"> </w:t>
      </w:r>
      <w:r w:rsidR="00DF417D" w:rsidRPr="003D2F2D">
        <w:rPr>
          <w:rFonts w:cs="Arial"/>
          <w:szCs w:val="18"/>
          <w:lang w:val="en-US"/>
        </w:rPr>
        <w:t>having</w:t>
      </w:r>
      <w:r w:rsidR="00921EF4">
        <w:rPr>
          <w:rFonts w:cs="Arial"/>
          <w:szCs w:val="18"/>
          <w:lang w:val="en-US"/>
        </w:rPr>
        <w:t xml:space="preserve"> </w:t>
      </w:r>
      <w:r w:rsidR="00DF417D" w:rsidRPr="003D2F2D">
        <w:rPr>
          <w:rFonts w:cs="Arial"/>
          <w:szCs w:val="18"/>
          <w:lang w:val="en-US"/>
        </w:rPr>
        <w:t xml:space="preserve">a low or negative value </w:t>
      </w:r>
      <w:r w:rsidR="00DF417D">
        <w:rPr>
          <w:rFonts w:cs="Arial"/>
          <w:szCs w:val="18"/>
          <w:lang w:val="en-US"/>
        </w:rPr>
        <w:t xml:space="preserve">(as bamboo, wood chips, wheat straw) </w:t>
      </w:r>
      <w:r w:rsidR="00DF417D" w:rsidRPr="003D2F2D">
        <w:rPr>
          <w:rFonts w:cs="Arial"/>
          <w:szCs w:val="18"/>
          <w:lang w:val="en-US"/>
        </w:rPr>
        <w:t xml:space="preserve">are adopted as starting materials (Ahmad et al., 2016). </w:t>
      </w:r>
      <w:r w:rsidRPr="00E0560B">
        <w:rPr>
          <w:rFonts w:cs="Arial"/>
          <w:szCs w:val="18"/>
          <w:lang w:val="en-US"/>
        </w:rPr>
        <w:t>The process takes place in the presence of ethanol which acts as reactant/reaction medium and of an acid catalyst</w:t>
      </w:r>
      <w:r w:rsidR="007445A9">
        <w:rPr>
          <w:rFonts w:cs="Arial"/>
          <w:szCs w:val="18"/>
          <w:lang w:val="en-US"/>
        </w:rPr>
        <w:t xml:space="preserve"> which </w:t>
      </w:r>
      <w:r w:rsidR="008B6D4D">
        <w:rPr>
          <w:rFonts w:cs="Arial"/>
          <w:szCs w:val="18"/>
          <w:lang w:val="en-US"/>
        </w:rPr>
        <w:t>is necessary for the</w:t>
      </w:r>
      <w:r w:rsidR="007445A9">
        <w:rPr>
          <w:rFonts w:cs="Arial"/>
          <w:szCs w:val="18"/>
          <w:lang w:val="en-US"/>
        </w:rPr>
        <w:t xml:space="preserve"> depolymerization of the polysaccharides and the successive alcholysis of </w:t>
      </w:r>
      <w:r w:rsidR="008B6D4D">
        <w:rPr>
          <w:rFonts w:cs="Arial"/>
          <w:szCs w:val="18"/>
          <w:lang w:val="en-US"/>
        </w:rPr>
        <w:t xml:space="preserve">obtained </w:t>
      </w:r>
      <w:r w:rsidR="007445A9">
        <w:rPr>
          <w:rFonts w:cs="Arial"/>
          <w:szCs w:val="18"/>
          <w:lang w:val="en-US"/>
        </w:rPr>
        <w:t xml:space="preserve">the </w:t>
      </w:r>
      <w:r w:rsidR="008B6D4D">
        <w:rPr>
          <w:rFonts w:cs="Arial"/>
          <w:szCs w:val="18"/>
          <w:lang w:val="en-US"/>
        </w:rPr>
        <w:t>monosaccharide intermediates to EL</w:t>
      </w:r>
      <w:r w:rsidR="00DF417D">
        <w:rPr>
          <w:rFonts w:cs="Arial"/>
          <w:szCs w:val="18"/>
          <w:lang w:val="en-US"/>
        </w:rPr>
        <w:t xml:space="preserve"> </w:t>
      </w:r>
      <w:r w:rsidR="00450F5F">
        <w:rPr>
          <w:rFonts w:cs="Arial"/>
          <w:szCs w:val="18"/>
          <w:lang w:val="en-US"/>
        </w:rPr>
        <w:t>(</w:t>
      </w:r>
      <w:r w:rsidR="00DF417D" w:rsidRPr="003D2F2D">
        <w:rPr>
          <w:rFonts w:cs="Arial"/>
          <w:szCs w:val="18"/>
          <w:lang w:val="en-US"/>
        </w:rPr>
        <w:t>Antonetti et al., 2020)</w:t>
      </w:r>
      <w:r w:rsidR="00921EF4">
        <w:rPr>
          <w:rFonts w:cs="Arial"/>
          <w:szCs w:val="18"/>
          <w:lang w:val="en-US"/>
        </w:rPr>
        <w:t>.</w:t>
      </w:r>
    </w:p>
    <w:p w14:paraId="753DB390" w14:textId="6EA150F8" w:rsidR="00E0560B" w:rsidRPr="00A7221B" w:rsidRDefault="00DF417D" w:rsidP="00575AA4">
      <w:pPr>
        <w:pStyle w:val="Paragrafoelenco"/>
        <w:shd w:val="clear" w:color="auto" w:fill="FFFFFF"/>
        <w:ind w:left="0"/>
        <w:rPr>
          <w:rFonts w:cs="Arial"/>
          <w:szCs w:val="18"/>
          <w:lang w:val="en-US"/>
        </w:rPr>
      </w:pPr>
      <w:r w:rsidRPr="003D2F2D">
        <w:rPr>
          <w:rFonts w:cs="Arial"/>
          <w:szCs w:val="18"/>
          <w:lang w:val="en-US"/>
        </w:rPr>
        <w:lastRenderedPageBreak/>
        <w:t>The</w:t>
      </w:r>
      <w:r>
        <w:rPr>
          <w:rFonts w:cs="Arial"/>
          <w:szCs w:val="18"/>
          <w:lang w:val="en-US"/>
        </w:rPr>
        <w:t xml:space="preserve"> </w:t>
      </w:r>
      <w:r w:rsidRPr="003D2F2D">
        <w:rPr>
          <w:rFonts w:cs="Arial"/>
          <w:szCs w:val="18"/>
          <w:lang w:val="en-US"/>
        </w:rPr>
        <w:t>one step ethanolysis</w:t>
      </w:r>
      <w:r>
        <w:rPr>
          <w:rFonts w:cs="Arial"/>
          <w:szCs w:val="18"/>
          <w:lang w:val="en-US"/>
        </w:rPr>
        <w:t xml:space="preserve"> </w:t>
      </w:r>
      <w:r w:rsidRPr="003D2F2D">
        <w:rPr>
          <w:rFonts w:cs="Arial"/>
          <w:szCs w:val="18"/>
          <w:lang w:val="en-US"/>
        </w:rPr>
        <w:t xml:space="preserve">in principle is a very simple process but </w:t>
      </w:r>
      <w:r>
        <w:rPr>
          <w:rFonts w:cs="Arial"/>
          <w:szCs w:val="18"/>
          <w:lang w:val="en-US"/>
        </w:rPr>
        <w:t>f</w:t>
      </w:r>
      <w:r w:rsidRPr="00E0560B">
        <w:rPr>
          <w:rFonts w:cs="Arial"/>
          <w:szCs w:val="18"/>
          <w:lang w:val="en-US"/>
        </w:rPr>
        <w:t xml:space="preserve">or </w:t>
      </w:r>
      <w:r w:rsidR="00E0560B" w:rsidRPr="00E0560B">
        <w:rPr>
          <w:rFonts w:cs="Arial"/>
          <w:szCs w:val="18"/>
          <w:lang w:val="en-US"/>
        </w:rPr>
        <w:t>the pr</w:t>
      </w:r>
      <w:r w:rsidR="00223207">
        <w:rPr>
          <w:rFonts w:cs="Arial"/>
          <w:szCs w:val="18"/>
          <w:lang w:val="en-US"/>
        </w:rPr>
        <w:t>ocess to be economically viable</w:t>
      </w:r>
      <w:r w:rsidR="00E0560B" w:rsidRPr="00E0560B">
        <w:rPr>
          <w:rFonts w:cs="Arial"/>
          <w:szCs w:val="18"/>
          <w:lang w:val="en-US"/>
        </w:rPr>
        <w:t xml:space="preserve"> it is crucial that the concentration of the homogeneous acid catalyst be as low as possible to limit corrosion problems. </w:t>
      </w:r>
      <w:r>
        <w:rPr>
          <w:rFonts w:cs="Arial"/>
          <w:szCs w:val="18"/>
          <w:lang w:val="en-US"/>
        </w:rPr>
        <w:t>Moreover</w:t>
      </w:r>
      <w:r w:rsidR="00A7221B">
        <w:rPr>
          <w:rFonts w:cs="Arial"/>
          <w:szCs w:val="18"/>
          <w:lang w:val="en-US"/>
        </w:rPr>
        <w:t>,</w:t>
      </w:r>
      <w:r>
        <w:rPr>
          <w:rFonts w:cs="Arial"/>
          <w:szCs w:val="18"/>
          <w:lang w:val="en-US"/>
        </w:rPr>
        <w:t xml:space="preserve"> </w:t>
      </w:r>
      <w:r w:rsidRPr="003D2F2D">
        <w:rPr>
          <w:rFonts w:cs="Arial"/>
          <w:szCs w:val="18"/>
          <w:lang w:val="en-US"/>
        </w:rPr>
        <w:t xml:space="preserve">a significant drawback must be considered: the </w:t>
      </w:r>
      <w:r>
        <w:rPr>
          <w:rFonts w:cs="Arial"/>
          <w:szCs w:val="18"/>
          <w:lang w:val="en-US"/>
        </w:rPr>
        <w:t xml:space="preserve">acid catalyst </w:t>
      </w:r>
      <w:r w:rsidR="00A7221B">
        <w:rPr>
          <w:rFonts w:cs="Arial"/>
          <w:szCs w:val="18"/>
          <w:lang w:val="en-US"/>
        </w:rPr>
        <w:t>favors</w:t>
      </w:r>
      <w:r>
        <w:rPr>
          <w:rFonts w:cs="Arial"/>
          <w:szCs w:val="18"/>
          <w:lang w:val="en-US"/>
        </w:rPr>
        <w:t xml:space="preserve"> the </w:t>
      </w:r>
      <w:r w:rsidRPr="003D2F2D">
        <w:rPr>
          <w:rFonts w:cs="Arial"/>
          <w:szCs w:val="18"/>
          <w:lang w:val="en-US"/>
        </w:rPr>
        <w:t xml:space="preserve">formation of a solid by-product which contains the eventual unconverted lignin fraction and also the polymers </w:t>
      </w:r>
      <w:r w:rsidRPr="00A7221B">
        <w:rPr>
          <w:rFonts w:cs="Arial"/>
          <w:szCs w:val="18"/>
          <w:lang w:val="en-US"/>
        </w:rPr>
        <w:t>deriving from the condensation of C5 and C6</w:t>
      </w:r>
      <w:r w:rsidR="00B275D4" w:rsidRPr="00A7221B">
        <w:rPr>
          <w:rFonts w:cs="Arial"/>
          <w:szCs w:val="18"/>
          <w:lang w:val="en-US"/>
        </w:rPr>
        <w:t xml:space="preserve"> </w:t>
      </w:r>
      <w:r w:rsidRPr="00A7221B">
        <w:rPr>
          <w:rFonts w:cs="Arial"/>
          <w:szCs w:val="18"/>
          <w:lang w:val="en-US"/>
        </w:rPr>
        <w:t>sugars</w:t>
      </w:r>
      <w:r w:rsidR="00B275D4" w:rsidRPr="00A7221B">
        <w:rPr>
          <w:rFonts w:cs="Arial"/>
          <w:szCs w:val="18"/>
          <w:lang w:val="en-US"/>
        </w:rPr>
        <w:t>.</w:t>
      </w:r>
      <w:r w:rsidR="00921EF4">
        <w:rPr>
          <w:rFonts w:cs="Arial"/>
          <w:szCs w:val="18"/>
          <w:lang w:val="en-US"/>
        </w:rPr>
        <w:t xml:space="preserve"> </w:t>
      </w:r>
      <w:r w:rsidR="00FC7F33" w:rsidRPr="00A7221B">
        <w:rPr>
          <w:rFonts w:cs="Arial"/>
          <w:szCs w:val="18"/>
          <w:lang w:val="en-US"/>
        </w:rPr>
        <w:t>Therefore, in order to improve EL yield, due to the different composition of the starting materials, the direct ethanolysis needs a proper optimization of the main reaction conditions as substrate and acid catalyst concentration,</w:t>
      </w:r>
      <w:r w:rsidR="00A7221B">
        <w:rPr>
          <w:rFonts w:cs="Arial"/>
          <w:szCs w:val="18"/>
          <w:lang w:val="en-US"/>
        </w:rPr>
        <w:t xml:space="preserve"> </w:t>
      </w:r>
      <w:r w:rsidR="00FC7F33" w:rsidRPr="00A7221B">
        <w:rPr>
          <w:rFonts w:cs="Arial"/>
          <w:szCs w:val="18"/>
          <w:lang w:val="en-US"/>
        </w:rPr>
        <w:t>duration and temperature. On the other hand, the concentration of the substrate (biomass or sugars) must be maximized by adopting a high-gravity approach, in order to simplify the downstream and achieve high productivity towards the alkyl levulinate (Antonetti et al., 2020).</w:t>
      </w:r>
    </w:p>
    <w:p w14:paraId="5B1E8DE0" w14:textId="77777777" w:rsidR="00E0560B" w:rsidRPr="00921EF4" w:rsidRDefault="00FC7F33" w:rsidP="00575AA4">
      <w:pPr>
        <w:shd w:val="clear" w:color="auto" w:fill="FFFFFF"/>
        <w:rPr>
          <w:rFonts w:cs="Arial"/>
          <w:szCs w:val="18"/>
          <w:lang w:val="en-US"/>
        </w:rPr>
      </w:pPr>
      <w:r w:rsidRPr="00A7221B">
        <w:rPr>
          <w:rFonts w:cs="Arial"/>
          <w:szCs w:val="18"/>
          <w:lang w:val="en-US"/>
        </w:rPr>
        <w:t xml:space="preserve">In the present study, an investigation on defatted cardoon ethanolysis was performed. Defatted cardoon represents a waste biomass, being the residue that remains after the seeds are removed to obtain the valuable </w:t>
      </w:r>
      <w:r w:rsidRPr="00921EF4">
        <w:rPr>
          <w:rFonts w:cs="Arial"/>
          <w:szCs w:val="18"/>
          <w:lang w:val="en-US"/>
        </w:rPr>
        <w:t>edible oil, which in turn is used for the synthesis of bipolymers, bioplasticizers, antioxidants and antimicrobial agents and even of biodiesel (Khaldi et al., 2021).</w:t>
      </w:r>
      <w:r w:rsidR="00A24D84" w:rsidRPr="00921EF4">
        <w:rPr>
          <w:rFonts w:cs="Arial"/>
          <w:szCs w:val="18"/>
          <w:lang w:val="en-US"/>
        </w:rPr>
        <w:t xml:space="preserve"> </w:t>
      </w:r>
    </w:p>
    <w:p w14:paraId="3E35C03D" w14:textId="7DB9925A" w:rsidR="002F1FE7" w:rsidRPr="00921EF4" w:rsidRDefault="00E0560B" w:rsidP="00575AA4">
      <w:pPr>
        <w:pStyle w:val="CETBodytext"/>
        <w:rPr>
          <w:rFonts w:cs="Arial"/>
          <w:szCs w:val="18"/>
        </w:rPr>
      </w:pPr>
      <w:r w:rsidRPr="00921EF4">
        <w:rPr>
          <w:rFonts w:cs="Arial"/>
          <w:szCs w:val="18"/>
        </w:rPr>
        <w:t xml:space="preserve">The </w:t>
      </w:r>
      <w:r w:rsidR="00E8007A" w:rsidRPr="00921EF4">
        <w:rPr>
          <w:rFonts w:cs="Arial"/>
          <w:szCs w:val="18"/>
        </w:rPr>
        <w:t>feas</w:t>
      </w:r>
      <w:r w:rsidRPr="00921EF4">
        <w:rPr>
          <w:rFonts w:cs="Arial"/>
          <w:szCs w:val="18"/>
        </w:rPr>
        <w:t xml:space="preserve">ibility of using EL as bio-blendstock in </w:t>
      </w:r>
      <w:r w:rsidR="00937AD9" w:rsidRPr="00921EF4">
        <w:rPr>
          <w:rFonts w:cs="Arial"/>
          <w:szCs w:val="18"/>
        </w:rPr>
        <w:t>Diesel engines has been verified in a previous research</w:t>
      </w:r>
      <w:r w:rsidR="004D1884" w:rsidRPr="00921EF4">
        <w:rPr>
          <w:rFonts w:cs="Arial"/>
          <w:szCs w:val="18"/>
        </w:rPr>
        <w:t xml:space="preserve"> (Frigo et al., 2023). EL</w:t>
      </w:r>
      <w:r w:rsidR="00937AD9" w:rsidRPr="00921EF4">
        <w:rPr>
          <w:rFonts w:cs="Arial"/>
          <w:szCs w:val="18"/>
        </w:rPr>
        <w:t xml:space="preserve"> was blended with Diesel fuel up to 25</w:t>
      </w:r>
      <w:r w:rsidR="002F1FE7" w:rsidRPr="00921EF4">
        <w:rPr>
          <w:rFonts w:cs="Arial"/>
          <w:szCs w:val="18"/>
        </w:rPr>
        <w:t xml:space="preserve">% by volume without significant changes in engine performance, moderately increasing the fuel specific consumption (owing to EL low LHV with respect to Diesel fuel), NOx and HC emissions but significantly reducing CO and soot emissions, this last by over 40%. Starting from EL dilution greater than 25%, the excessive combustion delay, due to EL low </w:t>
      </w:r>
      <w:r w:rsidR="000256FD">
        <w:rPr>
          <w:rFonts w:cs="Arial"/>
          <w:szCs w:val="18"/>
        </w:rPr>
        <w:t>cetane number (</w:t>
      </w:r>
      <w:r w:rsidR="002F1FE7" w:rsidRPr="00921EF4">
        <w:rPr>
          <w:rFonts w:cs="Arial"/>
          <w:szCs w:val="18"/>
        </w:rPr>
        <w:t>CN</w:t>
      </w:r>
      <w:r w:rsidR="000256FD">
        <w:rPr>
          <w:rFonts w:cs="Arial"/>
          <w:szCs w:val="18"/>
        </w:rPr>
        <w:t>)</w:t>
      </w:r>
      <w:r w:rsidR="002F1FE7" w:rsidRPr="00921EF4">
        <w:rPr>
          <w:rFonts w:cs="Arial"/>
          <w:szCs w:val="18"/>
        </w:rPr>
        <w:t xml:space="preserve">, negatively influenced the Diesel engine performance. This behavior was observed in other studies </w:t>
      </w:r>
      <w:r w:rsidR="00CD1955" w:rsidRPr="00921EF4">
        <w:rPr>
          <w:rFonts w:cs="Arial"/>
          <w:szCs w:val="18"/>
        </w:rPr>
        <w:t>(</w:t>
      </w:r>
      <w:r w:rsidR="00866D40" w:rsidRPr="00921EF4">
        <w:rPr>
          <w:rFonts w:cs="Arial"/>
          <w:szCs w:val="18"/>
        </w:rPr>
        <w:t xml:space="preserve">Wang et al., 2012; Lei et al., 2016; </w:t>
      </w:r>
      <w:r w:rsidR="00CD1955" w:rsidRPr="00921EF4">
        <w:rPr>
          <w:rFonts w:cs="Arial"/>
          <w:szCs w:val="18"/>
        </w:rPr>
        <w:t>Ahmad et al., 2022</w:t>
      </w:r>
      <w:r w:rsidR="00866D40" w:rsidRPr="00921EF4">
        <w:rPr>
          <w:rFonts w:cs="Arial"/>
          <w:szCs w:val="18"/>
        </w:rPr>
        <w:t xml:space="preserve">), also evidencing how the oxygen content in the EL molecule is the main parameter affecting combustion and emissions. </w:t>
      </w:r>
    </w:p>
    <w:p w14:paraId="2F1CB349" w14:textId="39AE2A08" w:rsidR="000A0C69" w:rsidRDefault="00834CBD" w:rsidP="00575AA4">
      <w:pPr>
        <w:pStyle w:val="CETBodytext"/>
        <w:rPr>
          <w:rFonts w:cs="Arial"/>
          <w:szCs w:val="18"/>
        </w:rPr>
      </w:pPr>
      <w:r w:rsidRPr="00921EF4">
        <w:rPr>
          <w:rFonts w:cs="Arial"/>
          <w:szCs w:val="18"/>
        </w:rPr>
        <w:t xml:space="preserve">The </w:t>
      </w:r>
      <w:r w:rsidR="00E01661" w:rsidRPr="00921EF4">
        <w:rPr>
          <w:rFonts w:cs="Arial"/>
          <w:szCs w:val="18"/>
        </w:rPr>
        <w:t xml:space="preserve">compatibility of EL with gasoline fuel has been verified in other scientific study (Ghosh et al., 2028). The </w:t>
      </w:r>
      <w:r w:rsidRPr="00921EF4">
        <w:rPr>
          <w:rFonts w:cs="Arial"/>
          <w:szCs w:val="18"/>
        </w:rPr>
        <w:t>present study shows for the first time the experimental results obtained feeding a gasoline engine with a mixture of a commercial gasoline fuel and EL at 10% by volume. The results confirmed that e</w:t>
      </w:r>
      <w:r w:rsidR="00280910" w:rsidRPr="00921EF4">
        <w:rPr>
          <w:rFonts w:cs="Arial"/>
          <w:szCs w:val="18"/>
        </w:rPr>
        <w:t xml:space="preserve">ven in </w:t>
      </w:r>
      <w:r w:rsidR="009A658C" w:rsidRPr="00921EF4">
        <w:rPr>
          <w:rFonts w:cs="Arial"/>
          <w:szCs w:val="18"/>
        </w:rPr>
        <w:t>gasoline</w:t>
      </w:r>
      <w:r w:rsidR="00280910" w:rsidRPr="00921EF4">
        <w:rPr>
          <w:rFonts w:cs="Arial"/>
          <w:szCs w:val="18"/>
        </w:rPr>
        <w:t xml:space="preserve"> engines the use of EL</w:t>
      </w:r>
      <w:r w:rsidRPr="00921EF4">
        <w:rPr>
          <w:rFonts w:cs="Arial"/>
          <w:szCs w:val="18"/>
        </w:rPr>
        <w:t xml:space="preserve"> does not alter the engine performance as well the NOx emissions</w:t>
      </w:r>
      <w:r w:rsidR="00280910" w:rsidRPr="00921EF4">
        <w:rPr>
          <w:rFonts w:cs="Arial"/>
          <w:szCs w:val="18"/>
        </w:rPr>
        <w:t>,</w:t>
      </w:r>
      <w:r w:rsidR="00921EF4" w:rsidRPr="00921EF4">
        <w:rPr>
          <w:rFonts w:cs="Arial"/>
          <w:szCs w:val="18"/>
        </w:rPr>
        <w:t xml:space="preserve"> </w:t>
      </w:r>
      <w:r w:rsidRPr="00921EF4">
        <w:rPr>
          <w:rFonts w:cs="Arial"/>
          <w:szCs w:val="18"/>
        </w:rPr>
        <w:t xml:space="preserve">but </w:t>
      </w:r>
      <w:r w:rsidR="00E0560B" w:rsidRPr="00921EF4">
        <w:rPr>
          <w:rFonts w:cs="Arial"/>
          <w:szCs w:val="18"/>
        </w:rPr>
        <w:t>with beneficial</w:t>
      </w:r>
      <w:r w:rsidR="00280910" w:rsidRPr="00921EF4">
        <w:rPr>
          <w:rFonts w:cs="Arial"/>
          <w:szCs w:val="18"/>
        </w:rPr>
        <w:t xml:space="preserve"> effects on the reduction of CO and</w:t>
      </w:r>
      <w:r w:rsidR="00E0560B" w:rsidRPr="00921EF4">
        <w:rPr>
          <w:rFonts w:cs="Arial"/>
          <w:szCs w:val="18"/>
        </w:rPr>
        <w:t xml:space="preserve"> HC</w:t>
      </w:r>
      <w:r w:rsidR="00280910" w:rsidRPr="00921EF4">
        <w:rPr>
          <w:rFonts w:cs="Arial"/>
          <w:szCs w:val="18"/>
        </w:rPr>
        <w:t xml:space="preserve"> emissions</w:t>
      </w:r>
      <w:r w:rsidR="00E0560B" w:rsidRPr="00921EF4">
        <w:rPr>
          <w:rFonts w:cs="Arial"/>
          <w:szCs w:val="18"/>
        </w:rPr>
        <w:t>.</w:t>
      </w:r>
    </w:p>
    <w:p w14:paraId="7B16CA2A" w14:textId="77777777" w:rsidR="000A0C69" w:rsidRPr="00B57B36" w:rsidRDefault="00B275D4" w:rsidP="00575AA4">
      <w:pPr>
        <w:pStyle w:val="CETHeading1"/>
        <w:spacing w:line="264" w:lineRule="auto"/>
        <w:rPr>
          <w:lang w:val="en-GB"/>
        </w:rPr>
      </w:pPr>
      <w:r>
        <w:rPr>
          <w:lang w:val="en-GB"/>
        </w:rPr>
        <w:t>Materials and methods</w:t>
      </w:r>
    </w:p>
    <w:p w14:paraId="34569483" w14:textId="5489D278" w:rsidR="00245AD0" w:rsidRPr="00785A0B" w:rsidRDefault="00FC7F33" w:rsidP="00575AA4">
      <w:pPr>
        <w:pStyle w:val="Paragrafoelenco"/>
        <w:shd w:val="clear" w:color="auto" w:fill="FFFFFF"/>
        <w:ind w:left="0"/>
        <w:rPr>
          <w:rFonts w:eastAsia="MS Gothic" w:cs="Arial"/>
          <w:color w:val="000000"/>
          <w:szCs w:val="18"/>
          <w:lang w:val="en-US"/>
        </w:rPr>
      </w:pPr>
      <w:r w:rsidRPr="00785A0B">
        <w:rPr>
          <w:rFonts w:cs="Arial"/>
          <w:szCs w:val="18"/>
          <w:lang w:val="en-US"/>
        </w:rPr>
        <w:t xml:space="preserve">Defatted cardoon was provided by the center CIRIAF (University of Perugia) and its main components, analyzed as previously reported </w:t>
      </w:r>
      <w:r w:rsidRPr="00785A0B">
        <w:rPr>
          <w:rFonts w:eastAsia="MS Gothic" w:cs="Arial"/>
          <w:color w:val="000000"/>
          <w:szCs w:val="18"/>
          <w:lang w:val="en-US"/>
        </w:rPr>
        <w:t>(Raspolli Galletti et al., 2021), resulted: cellulose 37.6 wt%, hemicellulose: 16.8 wt%, lignin 17.5 wt%, ash: 7.2 wt.%, extractives: 5.6 wt.%.</w:t>
      </w:r>
    </w:p>
    <w:p w14:paraId="788C24C0" w14:textId="77777777" w:rsidR="00245AD0" w:rsidRPr="00785A0B" w:rsidRDefault="00FC7F33" w:rsidP="00575AA4">
      <w:pPr>
        <w:pStyle w:val="Paragrafoelenco"/>
        <w:shd w:val="clear" w:color="auto" w:fill="FFFFFF"/>
        <w:ind w:left="0"/>
        <w:rPr>
          <w:rFonts w:cs="Arial"/>
          <w:bCs/>
          <w:szCs w:val="18"/>
        </w:rPr>
      </w:pPr>
      <w:r w:rsidRPr="00785A0B">
        <w:rPr>
          <w:rFonts w:cs="Arial"/>
          <w:bCs/>
          <w:szCs w:val="18"/>
        </w:rPr>
        <w:t>Sulfuric acid (H</w:t>
      </w:r>
      <w:r w:rsidRPr="00785A0B">
        <w:rPr>
          <w:rFonts w:cs="Arial"/>
          <w:bCs/>
          <w:szCs w:val="18"/>
          <w:vertAlign w:val="subscript"/>
        </w:rPr>
        <w:t>2</w:t>
      </w:r>
      <w:r w:rsidRPr="00785A0B">
        <w:rPr>
          <w:rFonts w:cs="Arial"/>
          <w:bCs/>
          <w:szCs w:val="18"/>
        </w:rPr>
        <w:t>SO</w:t>
      </w:r>
      <w:r w:rsidRPr="00785A0B">
        <w:rPr>
          <w:rFonts w:cs="Arial"/>
          <w:bCs/>
          <w:szCs w:val="18"/>
          <w:vertAlign w:val="subscript"/>
        </w:rPr>
        <w:t>4</w:t>
      </w:r>
      <w:r w:rsidRPr="00785A0B">
        <w:rPr>
          <w:rFonts w:cs="Arial"/>
          <w:bCs/>
          <w:szCs w:val="18"/>
        </w:rPr>
        <w:t>, 95 wt%), ethanol (EtOH, 99.8%), n-dodecane (99%) and ethyl levulinate (EL, 98%) were purchased from Sigma-Aldrich and used as-received.</w:t>
      </w:r>
    </w:p>
    <w:p w14:paraId="336ADEAD" w14:textId="2E613422" w:rsidR="003D2F2D" w:rsidRPr="00785A0B" w:rsidRDefault="00FC7F33" w:rsidP="00575AA4">
      <w:pPr>
        <w:pStyle w:val="Paragrafoelenco"/>
        <w:shd w:val="clear" w:color="auto" w:fill="FFFFFF"/>
        <w:ind w:left="0"/>
        <w:rPr>
          <w:rFonts w:eastAsia="MS Gothic" w:cs="Arial"/>
          <w:color w:val="000000"/>
          <w:szCs w:val="18"/>
          <w:lang w:val="en-US"/>
        </w:rPr>
      </w:pPr>
      <w:r w:rsidRPr="00785A0B">
        <w:rPr>
          <w:rFonts w:cs="Arial"/>
          <w:szCs w:val="18"/>
          <w:lang w:val="en-US"/>
        </w:rPr>
        <w:t xml:space="preserve">The direct ethanolysis reaction was performed in an electrically heated 600 mL Parr zirconium-made </w:t>
      </w:r>
      <w:r w:rsidRPr="00785A0B">
        <w:rPr>
          <w:rFonts w:cs="Arial"/>
          <w:szCs w:val="18"/>
        </w:rPr>
        <w:t>ﬁ</w:t>
      </w:r>
      <w:r w:rsidRPr="00785A0B">
        <w:rPr>
          <w:rFonts w:cs="Arial"/>
          <w:szCs w:val="18"/>
          <w:lang w:val="en-US"/>
        </w:rPr>
        <w:t>xed-head autoclave, equipped with a P.I.D. controller (4848). Ethanol, the acid catalyst H</w:t>
      </w:r>
      <w:r w:rsidRPr="00785A0B">
        <w:rPr>
          <w:rFonts w:cs="Arial"/>
          <w:szCs w:val="18"/>
          <w:vertAlign w:val="subscript"/>
          <w:lang w:val="en-US"/>
        </w:rPr>
        <w:t>2</w:t>
      </w:r>
      <w:r w:rsidRPr="00785A0B">
        <w:rPr>
          <w:rFonts w:cs="Arial"/>
          <w:szCs w:val="18"/>
          <w:lang w:val="en-US"/>
        </w:rPr>
        <w:t>SO</w:t>
      </w:r>
      <w:r w:rsidRPr="00785A0B">
        <w:rPr>
          <w:rFonts w:cs="Arial"/>
          <w:szCs w:val="18"/>
          <w:vertAlign w:val="subscript"/>
          <w:lang w:val="en-US"/>
        </w:rPr>
        <w:t xml:space="preserve">4, </w:t>
      </w:r>
      <w:r w:rsidRPr="00785A0B">
        <w:rPr>
          <w:rFonts w:cs="Arial"/>
          <w:szCs w:val="18"/>
          <w:lang w:val="en-US"/>
        </w:rPr>
        <w:t xml:space="preserve">the substrate, </w:t>
      </w:r>
      <w:r w:rsidRPr="00785A0B">
        <w:rPr>
          <w:rFonts w:cs="Arial"/>
          <w:i/>
          <w:szCs w:val="18"/>
          <w:lang w:val="en-US"/>
        </w:rPr>
        <w:t>n</w:t>
      </w:r>
      <w:r w:rsidRPr="00785A0B">
        <w:rPr>
          <w:rFonts w:cs="Arial"/>
          <w:szCs w:val="18"/>
          <w:lang w:val="en-US"/>
        </w:rPr>
        <w:t>-dodecane as the Gas Chromatography (GC) internal standard, were introduced in the autoclave under nitrogen atmosphere. The reactor was then pressurized with nitrogen up to 30 bar.</w:t>
      </w:r>
      <w:r w:rsidR="00785A0B">
        <w:rPr>
          <w:rFonts w:cs="Arial"/>
          <w:szCs w:val="18"/>
          <w:lang w:val="en-US"/>
        </w:rPr>
        <w:t xml:space="preserve"> </w:t>
      </w:r>
      <w:r w:rsidRPr="00785A0B">
        <w:rPr>
          <w:rFonts w:cs="Arial"/>
          <w:szCs w:val="18"/>
          <w:lang w:val="en-US"/>
        </w:rPr>
        <w:t>The reaction mixture was stirred during the selected reaction time then, at the end of the</w:t>
      </w:r>
      <w:r w:rsidR="00785A0B">
        <w:rPr>
          <w:rFonts w:cs="Arial"/>
          <w:szCs w:val="18"/>
          <w:lang w:val="en-US"/>
        </w:rPr>
        <w:t xml:space="preserve"> </w:t>
      </w:r>
      <w:r w:rsidRPr="00785A0B">
        <w:rPr>
          <w:rFonts w:cs="Arial"/>
          <w:szCs w:val="18"/>
          <w:lang w:val="en-US"/>
        </w:rPr>
        <w:t xml:space="preserve">reaction, the autoclave was quickly cooled and the recovered reaction mixture was filtered. The liquid and solid products determination was performed </w:t>
      </w:r>
      <w:r w:rsidRPr="00785A0B">
        <w:rPr>
          <w:rFonts w:eastAsia="MS Gothic" w:cs="Arial"/>
          <w:color w:val="000000"/>
          <w:szCs w:val="18"/>
          <w:lang w:val="en-US"/>
        </w:rPr>
        <w:t>as previously reported (Raspolli Galletti et al., 2021)</w:t>
      </w:r>
      <w:r w:rsidRPr="00785A0B">
        <w:rPr>
          <w:rFonts w:cs="Arial"/>
          <w:szCs w:val="18"/>
          <w:lang w:val="en-US"/>
        </w:rPr>
        <w:t xml:space="preserve">. </w:t>
      </w:r>
    </w:p>
    <w:p w14:paraId="25ED4F51" w14:textId="77777777" w:rsidR="003D2F2D" w:rsidRPr="00785A0B" w:rsidRDefault="00FC7F33" w:rsidP="00575AA4">
      <w:pPr>
        <w:pStyle w:val="Indirizzomittente"/>
        <w:widowControl w:val="0"/>
        <w:shd w:val="clear" w:color="auto" w:fill="FFFFFF"/>
        <w:spacing w:line="264" w:lineRule="auto"/>
        <w:rPr>
          <w:rFonts w:ascii="Arial" w:eastAsia="MS Gothic" w:hAnsi="Arial" w:cs="Arial"/>
          <w:color w:val="000000"/>
          <w:szCs w:val="18"/>
          <w:lang w:val="en-US"/>
        </w:rPr>
      </w:pPr>
      <w:r w:rsidRPr="00785A0B">
        <w:rPr>
          <w:rFonts w:ascii="Arial" w:hAnsi="Arial" w:cs="Arial"/>
          <w:szCs w:val="18"/>
          <w:lang w:val="en-US"/>
        </w:rPr>
        <w:t>Molar yields of EL and mass yield of the solid residue were calculated according to following equations:</w:t>
      </w:r>
    </w:p>
    <w:p w14:paraId="1C08A04F" w14:textId="7CB34A6F" w:rsidR="003D2F2D" w:rsidRPr="00785A0B" w:rsidRDefault="00FC7F33" w:rsidP="00575AA4">
      <w:pPr>
        <w:pStyle w:val="Paragrafoelenco"/>
        <w:numPr>
          <w:ilvl w:val="0"/>
          <w:numId w:val="26"/>
        </w:numPr>
        <w:tabs>
          <w:tab w:val="clear" w:pos="7100"/>
        </w:tabs>
        <w:spacing w:before="120" w:after="120"/>
        <w:ind w:left="641" w:hanging="357"/>
        <w:contextualSpacing w:val="0"/>
        <w:rPr>
          <w:rFonts w:eastAsia="MS Gothic" w:cs="Arial"/>
          <w:color w:val="000000"/>
          <w:szCs w:val="18"/>
          <w:lang w:val="en-US"/>
        </w:rPr>
      </w:pPr>
      <w:r w:rsidRPr="00785A0B">
        <w:rPr>
          <w:rFonts w:eastAsia="MS Gothic" w:cs="Arial"/>
          <w:color w:val="000000"/>
          <w:szCs w:val="18"/>
          <w:lang w:val="en-US"/>
        </w:rPr>
        <w:t>EL yield (mol%)</w:t>
      </w:r>
      <w:r w:rsidR="00785A0B">
        <w:rPr>
          <w:rFonts w:eastAsia="MS Gothic" w:cs="Arial"/>
          <w:color w:val="000000"/>
          <w:szCs w:val="18"/>
          <w:lang w:val="en-US"/>
        </w:rPr>
        <w:t xml:space="preserve"> </w:t>
      </w:r>
      <w:r w:rsidRPr="00785A0B">
        <w:rPr>
          <w:rFonts w:eastAsia="MS Gothic" w:cs="Arial"/>
          <w:color w:val="000000"/>
          <w:szCs w:val="18"/>
          <w:lang w:val="en-US"/>
        </w:rPr>
        <w:t>=</w:t>
      </w:r>
      <w:r w:rsidR="00785A0B">
        <w:rPr>
          <w:rFonts w:eastAsia="MS Gothic" w:cs="Arial"/>
          <w:color w:val="000000"/>
          <w:szCs w:val="18"/>
          <w:lang w:val="en-US"/>
        </w:rPr>
        <w:t xml:space="preserve"> </w:t>
      </w:r>
      <w:r w:rsidRPr="00785A0B">
        <w:rPr>
          <w:rFonts w:cs="Arial"/>
          <w:szCs w:val="18"/>
          <w:lang w:val="en-US"/>
        </w:rPr>
        <w:t>[(mol</w:t>
      </w:r>
      <w:r w:rsidRPr="00785A0B">
        <w:rPr>
          <w:rFonts w:cs="Arial"/>
          <w:szCs w:val="18"/>
          <w:vertAlign w:val="subscript"/>
          <w:lang w:val="en-US"/>
        </w:rPr>
        <w:t>EL</w:t>
      </w:r>
      <w:r w:rsidRPr="00785A0B">
        <w:rPr>
          <w:rFonts w:cs="Arial"/>
          <w:szCs w:val="18"/>
          <w:lang w:val="en-US"/>
        </w:rPr>
        <w:t>/mol C6 units</w:t>
      </w:r>
      <w:r w:rsidRPr="00785A0B">
        <w:rPr>
          <w:rFonts w:cs="Arial"/>
          <w:szCs w:val="18"/>
          <w:vertAlign w:val="subscript"/>
          <w:lang w:val="en-US"/>
        </w:rPr>
        <w:t>biomass</w:t>
      </w:r>
      <w:r w:rsidRPr="00785A0B">
        <w:rPr>
          <w:rFonts w:cs="Arial"/>
          <w:szCs w:val="18"/>
          <w:lang w:val="en-US"/>
        </w:rPr>
        <w:t>)]</w:t>
      </w:r>
      <w:r w:rsidRPr="00785A0B">
        <w:rPr>
          <w:rFonts w:eastAsia="MS Gothic" w:cs="Arial"/>
          <w:color w:val="000000"/>
          <w:szCs w:val="18"/>
          <w:lang w:val="en-US"/>
        </w:rPr>
        <w:t xml:space="preserve"> × 100  </w:t>
      </w:r>
    </w:p>
    <w:p w14:paraId="11FAADED" w14:textId="6D309AE6" w:rsidR="003D2F2D" w:rsidRPr="00785A0B" w:rsidRDefault="00FC7F33" w:rsidP="00575AA4">
      <w:pPr>
        <w:pStyle w:val="Paragrafoelenco"/>
        <w:numPr>
          <w:ilvl w:val="0"/>
          <w:numId w:val="26"/>
        </w:numPr>
        <w:tabs>
          <w:tab w:val="clear" w:pos="7100"/>
        </w:tabs>
        <w:spacing w:before="120" w:after="120"/>
        <w:ind w:left="641" w:hanging="357"/>
        <w:contextualSpacing w:val="0"/>
        <w:rPr>
          <w:rFonts w:cs="Arial"/>
          <w:szCs w:val="18"/>
          <w:lang w:val="en-US"/>
        </w:rPr>
      </w:pPr>
      <w:r w:rsidRPr="00785A0B">
        <w:rPr>
          <w:rFonts w:cs="Arial"/>
          <w:szCs w:val="18"/>
          <w:lang w:val="en-US"/>
        </w:rPr>
        <w:t>Solid yield (wt%) = [(g</w:t>
      </w:r>
      <w:r w:rsidRPr="00785A0B">
        <w:rPr>
          <w:rFonts w:cs="Arial"/>
          <w:szCs w:val="18"/>
          <w:vertAlign w:val="subscript"/>
          <w:lang w:val="en-US"/>
        </w:rPr>
        <w:t>solid residue</w:t>
      </w:r>
      <w:r w:rsidRPr="00785A0B">
        <w:rPr>
          <w:rFonts w:cs="Arial"/>
          <w:szCs w:val="18"/>
          <w:lang w:val="en-US"/>
        </w:rPr>
        <w:t>/g</w:t>
      </w:r>
      <w:r w:rsidRPr="00785A0B">
        <w:rPr>
          <w:rFonts w:cs="Arial"/>
          <w:szCs w:val="18"/>
          <w:vertAlign w:val="subscript"/>
          <w:lang w:val="en-US"/>
        </w:rPr>
        <w:t>biomass</w:t>
      </w:r>
      <w:r w:rsidRPr="00785A0B">
        <w:rPr>
          <w:rFonts w:cs="Arial"/>
          <w:szCs w:val="18"/>
          <w:lang w:val="en-US"/>
        </w:rPr>
        <w:t xml:space="preserve">)] </w:t>
      </w:r>
      <w:r w:rsidRPr="00785A0B">
        <w:rPr>
          <w:rFonts w:eastAsia="MS Gothic" w:cs="Arial"/>
          <w:color w:val="000000"/>
          <w:szCs w:val="18"/>
          <w:lang w:val="en-US"/>
        </w:rPr>
        <w:t>× 100</w:t>
      </w:r>
      <w:r w:rsidR="003D2F2D" w:rsidRPr="00785A0B">
        <w:rPr>
          <w:rFonts w:eastAsia="MS Gothic" w:cs="Arial"/>
          <w:color w:val="000000"/>
          <w:szCs w:val="18"/>
          <w:lang w:val="en-US"/>
        </w:rPr>
        <w:t xml:space="preserve">   </w:t>
      </w:r>
    </w:p>
    <w:p w14:paraId="58EF0B8D" w14:textId="77777777" w:rsidR="000A0C69" w:rsidRPr="00785A0B" w:rsidRDefault="00FC7F33" w:rsidP="00575AA4">
      <w:pPr>
        <w:pStyle w:val="CETHeading1"/>
        <w:spacing w:line="264" w:lineRule="auto"/>
        <w:rPr>
          <w:lang w:val="en-GB"/>
        </w:rPr>
      </w:pPr>
      <w:r w:rsidRPr="00785A0B">
        <w:rPr>
          <w:lang w:val="en-GB"/>
        </w:rPr>
        <w:t>Results and discussion</w:t>
      </w:r>
    </w:p>
    <w:p w14:paraId="309451F4" w14:textId="6365EE7E" w:rsidR="00921EF4" w:rsidRPr="00575AA4" w:rsidRDefault="00921EF4" w:rsidP="00575AA4">
      <w:pPr>
        <w:pStyle w:val="CETBodytext"/>
        <w:numPr>
          <w:ilvl w:val="2"/>
          <w:numId w:val="1"/>
        </w:numPr>
        <w:spacing w:before="120" w:after="120"/>
        <w:rPr>
          <w:rFonts w:cs="Arial"/>
          <w:b/>
          <w:szCs w:val="18"/>
        </w:rPr>
      </w:pPr>
      <w:r w:rsidRPr="00575AA4">
        <w:rPr>
          <w:rFonts w:cs="Arial"/>
          <w:b/>
          <w:szCs w:val="18"/>
          <w:lang w:val="en-GB"/>
        </w:rPr>
        <w:t>Ethyl Levulinate synthesis</w:t>
      </w:r>
    </w:p>
    <w:p w14:paraId="659B11BD" w14:textId="2569A02F" w:rsidR="00EB43CC" w:rsidRPr="00785A0B" w:rsidRDefault="00FC7F33" w:rsidP="00575AA4">
      <w:pPr>
        <w:pStyle w:val="CETBodytext"/>
        <w:rPr>
          <w:rFonts w:cs="Arial"/>
          <w:szCs w:val="18"/>
        </w:rPr>
      </w:pPr>
      <w:r w:rsidRPr="00785A0B">
        <w:rPr>
          <w:rFonts w:cs="Arial"/>
          <w:szCs w:val="18"/>
        </w:rPr>
        <w:t>The ethanolysis of defatted cardoon was studied adopting a preliminar</w:t>
      </w:r>
      <w:r w:rsidRPr="00785A0B">
        <w:rPr>
          <w:rFonts w:cs="Arial"/>
          <w:bCs/>
          <w:szCs w:val="18"/>
          <w:lang w:val="en-GB"/>
        </w:rPr>
        <w:t xml:space="preserve"> One-Factor-At-a-Time (OFAT) investigation adopting two substrate loadings: 5 and 14 wt.%. The obtained results are reported in Table 1. When the lower loading was adopted the increase of the temperature from 140 to 180 °C evidenced a progressive increase of the EL yield (runs 1-3). At the lowest temperature a significant amount of solid residue is recovered at the end of the reaction, due to a modest extent of biomass deconstruction/depolymerisation.</w:t>
      </w:r>
      <w:r w:rsidR="00785A0B">
        <w:rPr>
          <w:rFonts w:cs="Arial"/>
          <w:bCs/>
          <w:szCs w:val="18"/>
          <w:lang w:val="en-GB"/>
        </w:rPr>
        <w:t xml:space="preserve"> </w:t>
      </w:r>
      <w:r w:rsidRPr="00785A0B">
        <w:rPr>
          <w:rFonts w:cs="Arial"/>
          <w:bCs/>
          <w:szCs w:val="18"/>
          <w:lang w:val="en-GB"/>
        </w:rPr>
        <w:t>The</w:t>
      </w:r>
      <w:r w:rsidRPr="00785A0B">
        <w:t xml:space="preserve"> </w:t>
      </w:r>
      <w:r w:rsidRPr="00785A0B">
        <w:rPr>
          <w:rFonts w:cs="Arial"/>
          <w:bCs/>
          <w:szCs w:val="18"/>
          <w:lang w:val="en-GB"/>
        </w:rPr>
        <w:t xml:space="preserve">gradual increase in yield with increasing temperature is accompanied by the decrease in the amount of solid residue. The increase of the reaction time from 3 to 5 h allowed to reach an interesting EL yield of about 40 mol.% (compare run 4 with run 3), but also the amount of the solid residue was </w:t>
      </w:r>
      <w:r w:rsidR="00575AA4" w:rsidRPr="00785A0B">
        <w:rPr>
          <w:rFonts w:cs="Arial"/>
          <w:bCs/>
          <w:szCs w:val="18"/>
          <w:lang w:val="en-GB"/>
        </w:rPr>
        <w:t>enhanced</w:t>
      </w:r>
      <w:r w:rsidRPr="00785A0B">
        <w:rPr>
          <w:rFonts w:cs="Arial"/>
          <w:bCs/>
          <w:szCs w:val="18"/>
          <w:lang w:val="en-GB"/>
        </w:rPr>
        <w:t xml:space="preserve">, due to the formation of unsoluble huminic products. When the cardoon loading was increased to 14 wt.% in a high gravity perspective, the EL yield decreased respect to the corresponding run at lower loading (compare run 3 with run </w:t>
      </w:r>
      <w:r w:rsidRPr="00785A0B">
        <w:rPr>
          <w:rFonts w:cs="Arial"/>
          <w:bCs/>
          <w:szCs w:val="18"/>
          <w:lang w:val="en-GB"/>
        </w:rPr>
        <w:lastRenderedPageBreak/>
        <w:t>5), although the biomass solubilisation was analogous. This result was related to the incomplete conversion of soluble intermediates to give EL, probably due to the increased amount of basic ash introduced, which caused a decrease of the acid sites available for the complete alcoholysis to EL. The</w:t>
      </w:r>
      <w:r w:rsidR="00575AA4">
        <w:rPr>
          <w:rFonts w:cs="Arial"/>
          <w:bCs/>
          <w:szCs w:val="18"/>
          <w:lang w:val="en-GB"/>
        </w:rPr>
        <w:t>re</w:t>
      </w:r>
      <w:r w:rsidRPr="00785A0B">
        <w:rPr>
          <w:rFonts w:cs="Arial"/>
          <w:bCs/>
          <w:szCs w:val="18"/>
          <w:lang w:val="en-GB"/>
        </w:rPr>
        <w:t>fore, an increase of the acid concentration and of the reaction time allowed to raise the EL yield (compare run 6 and 7 with run 5). On the other hand</w:t>
      </w:r>
      <w:r w:rsidR="00575AA4">
        <w:rPr>
          <w:rFonts w:cs="Arial"/>
          <w:bCs/>
          <w:szCs w:val="18"/>
          <w:lang w:val="en-GB"/>
        </w:rPr>
        <w:t>,</w:t>
      </w:r>
      <w:r w:rsidRPr="00785A0B">
        <w:rPr>
          <w:rFonts w:cs="Arial"/>
          <w:bCs/>
          <w:szCs w:val="18"/>
          <w:lang w:val="en-GB"/>
        </w:rPr>
        <w:t xml:space="preserve"> the enhancement of the temperature up to 190 °C played a negative effect on the production of the target ester, the formation of huminic solid derivatives being significantly increased. </w:t>
      </w:r>
    </w:p>
    <w:p w14:paraId="07FB68E4" w14:textId="77777777" w:rsidR="004D74C3" w:rsidRPr="00785A0B" w:rsidRDefault="00FC7F33" w:rsidP="004D74C3">
      <w:pPr>
        <w:pStyle w:val="CETTabletitle"/>
      </w:pPr>
      <w:r w:rsidRPr="00785A0B">
        <w:t>Table 1: Defatted cardoon ethanolysis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72"/>
        <w:gridCol w:w="1838"/>
        <w:gridCol w:w="1276"/>
        <w:gridCol w:w="1276"/>
        <w:gridCol w:w="1134"/>
        <w:gridCol w:w="1275"/>
        <w:gridCol w:w="1416"/>
      </w:tblGrid>
      <w:tr w:rsidR="00EC4B8E" w:rsidRPr="00785A0B" w14:paraId="069EBD5D" w14:textId="77777777" w:rsidTr="00A7221B">
        <w:tc>
          <w:tcPr>
            <w:tcW w:w="572" w:type="dxa"/>
            <w:tcBorders>
              <w:top w:val="single" w:sz="12" w:space="0" w:color="008000"/>
              <w:bottom w:val="single" w:sz="6" w:space="0" w:color="008000"/>
            </w:tcBorders>
            <w:shd w:val="clear" w:color="auto" w:fill="FFFFFF"/>
            <w:vAlign w:val="center"/>
          </w:tcPr>
          <w:p w14:paraId="52F39DFC" w14:textId="77777777" w:rsidR="00C06843" w:rsidRPr="00785A0B" w:rsidRDefault="00FC7F33" w:rsidP="00C06843">
            <w:pPr>
              <w:pStyle w:val="CETBodytext"/>
              <w:rPr>
                <w:i/>
                <w:lang w:val="en-GB"/>
              </w:rPr>
            </w:pPr>
            <w:r w:rsidRPr="00785A0B">
              <w:rPr>
                <w:i/>
                <w:lang w:val="en-GB"/>
              </w:rPr>
              <w:t xml:space="preserve"> Run   </w:t>
            </w:r>
          </w:p>
        </w:tc>
        <w:tc>
          <w:tcPr>
            <w:tcW w:w="1838" w:type="dxa"/>
            <w:tcBorders>
              <w:top w:val="single" w:sz="12" w:space="0" w:color="008000"/>
              <w:bottom w:val="single" w:sz="6" w:space="0" w:color="008000"/>
            </w:tcBorders>
            <w:shd w:val="clear" w:color="auto" w:fill="FFFFFF"/>
          </w:tcPr>
          <w:p w14:paraId="6700BE5C" w14:textId="77777777" w:rsidR="00C06843" w:rsidRPr="00785A0B" w:rsidRDefault="00C06843" w:rsidP="002E63F7">
            <w:pPr>
              <w:pStyle w:val="CETBodytext"/>
              <w:jc w:val="center"/>
              <w:rPr>
                <w:i/>
                <w:lang w:val="en-GB"/>
              </w:rPr>
            </w:pPr>
          </w:p>
          <w:p w14:paraId="2293CC41" w14:textId="77777777" w:rsidR="00C06843" w:rsidRPr="00785A0B" w:rsidRDefault="00FC7F33" w:rsidP="002E63F7">
            <w:pPr>
              <w:pStyle w:val="CETBodytext"/>
              <w:jc w:val="center"/>
              <w:rPr>
                <w:i/>
                <w:lang w:val="en-GB"/>
              </w:rPr>
            </w:pPr>
            <w:r w:rsidRPr="00785A0B">
              <w:rPr>
                <w:i/>
                <w:lang w:val="en-GB"/>
              </w:rPr>
              <w:t>Cardoon loading</w:t>
            </w:r>
          </w:p>
          <w:p w14:paraId="1B0FA49E" w14:textId="77777777" w:rsidR="00C06843" w:rsidRPr="00785A0B" w:rsidRDefault="00FC7F33" w:rsidP="002E63F7">
            <w:pPr>
              <w:pStyle w:val="CETBodytext"/>
              <w:jc w:val="center"/>
              <w:rPr>
                <w:i/>
                <w:lang w:val="en-GB"/>
              </w:rPr>
            </w:pPr>
            <w:r w:rsidRPr="00785A0B">
              <w:rPr>
                <w:i/>
                <w:lang w:val="en-GB"/>
              </w:rPr>
              <w:t>(wt.%)</w:t>
            </w:r>
          </w:p>
        </w:tc>
        <w:tc>
          <w:tcPr>
            <w:tcW w:w="1276" w:type="dxa"/>
            <w:tcBorders>
              <w:top w:val="single" w:sz="12" w:space="0" w:color="008000"/>
              <w:bottom w:val="single" w:sz="6" w:space="0" w:color="008000"/>
            </w:tcBorders>
            <w:shd w:val="clear" w:color="auto" w:fill="FFFFFF"/>
            <w:vAlign w:val="center"/>
          </w:tcPr>
          <w:p w14:paraId="422B146B" w14:textId="77777777" w:rsidR="00C06843" w:rsidRPr="00785A0B" w:rsidRDefault="00FC7F33" w:rsidP="002E63F7">
            <w:pPr>
              <w:pStyle w:val="CETBodytext"/>
              <w:jc w:val="center"/>
              <w:rPr>
                <w:i/>
                <w:lang w:val="en-GB"/>
              </w:rPr>
            </w:pPr>
            <w:r w:rsidRPr="00785A0B">
              <w:rPr>
                <w:i/>
                <w:lang w:val="en-GB"/>
              </w:rPr>
              <w:t>H</w:t>
            </w:r>
            <w:r w:rsidRPr="00785A0B">
              <w:rPr>
                <w:i/>
                <w:vertAlign w:val="subscript"/>
                <w:lang w:val="en-GB"/>
              </w:rPr>
              <w:t>2</w:t>
            </w:r>
            <w:r w:rsidRPr="00785A0B">
              <w:rPr>
                <w:i/>
                <w:lang w:val="en-GB"/>
              </w:rPr>
              <w:t>SO</w:t>
            </w:r>
            <w:r w:rsidRPr="00785A0B">
              <w:rPr>
                <w:i/>
                <w:vertAlign w:val="subscript"/>
                <w:lang w:val="en-GB"/>
              </w:rPr>
              <w:t>4</w:t>
            </w:r>
          </w:p>
          <w:p w14:paraId="09BB309B" w14:textId="77777777" w:rsidR="00C06843" w:rsidRPr="00785A0B" w:rsidRDefault="00FC7F33" w:rsidP="002E63F7">
            <w:pPr>
              <w:pStyle w:val="CETBodytext"/>
              <w:jc w:val="center"/>
              <w:rPr>
                <w:i/>
                <w:lang w:val="en-GB"/>
              </w:rPr>
            </w:pPr>
            <w:r w:rsidRPr="00785A0B">
              <w:rPr>
                <w:i/>
                <w:lang w:val="en-GB"/>
              </w:rPr>
              <w:t>(wt. %)</w:t>
            </w:r>
          </w:p>
        </w:tc>
        <w:tc>
          <w:tcPr>
            <w:tcW w:w="1276" w:type="dxa"/>
            <w:tcBorders>
              <w:top w:val="single" w:sz="12" w:space="0" w:color="008000"/>
              <w:bottom w:val="single" w:sz="6" w:space="0" w:color="008000"/>
            </w:tcBorders>
            <w:shd w:val="clear" w:color="auto" w:fill="FFFFFF"/>
            <w:vAlign w:val="center"/>
          </w:tcPr>
          <w:p w14:paraId="6D4454B7" w14:textId="77777777" w:rsidR="00C06843" w:rsidRPr="00785A0B" w:rsidRDefault="00FC7F33" w:rsidP="002E63F7">
            <w:pPr>
              <w:pStyle w:val="CETBodytext"/>
              <w:jc w:val="center"/>
              <w:rPr>
                <w:i/>
                <w:lang w:val="en-GB"/>
              </w:rPr>
            </w:pPr>
            <w:r w:rsidRPr="00785A0B">
              <w:rPr>
                <w:i/>
                <w:lang w:val="en-GB"/>
              </w:rPr>
              <w:t>T</w:t>
            </w:r>
          </w:p>
          <w:p w14:paraId="7172E956" w14:textId="77777777" w:rsidR="00C06843" w:rsidRPr="00785A0B" w:rsidRDefault="00FC7F33" w:rsidP="002E63F7">
            <w:pPr>
              <w:pStyle w:val="CETBodytext"/>
              <w:jc w:val="center"/>
              <w:rPr>
                <w:i/>
                <w:lang w:val="en-GB"/>
              </w:rPr>
            </w:pPr>
            <w:r w:rsidRPr="00785A0B">
              <w:rPr>
                <w:i/>
                <w:lang w:val="en-GB"/>
              </w:rPr>
              <w:t>(°C)</w:t>
            </w:r>
          </w:p>
        </w:tc>
        <w:tc>
          <w:tcPr>
            <w:tcW w:w="1134" w:type="dxa"/>
            <w:tcBorders>
              <w:top w:val="single" w:sz="12" w:space="0" w:color="008000"/>
              <w:bottom w:val="single" w:sz="6" w:space="0" w:color="008000"/>
            </w:tcBorders>
            <w:shd w:val="clear" w:color="auto" w:fill="FFFFFF"/>
            <w:vAlign w:val="center"/>
          </w:tcPr>
          <w:p w14:paraId="606E87FE" w14:textId="77777777" w:rsidR="00C06843" w:rsidRPr="00785A0B" w:rsidRDefault="00FC7F33" w:rsidP="002E63F7">
            <w:pPr>
              <w:pStyle w:val="CETBodytext"/>
              <w:ind w:right="-1"/>
              <w:jc w:val="center"/>
              <w:rPr>
                <w:rFonts w:cs="Arial"/>
                <w:i/>
                <w:szCs w:val="18"/>
                <w:lang w:val="en-GB"/>
              </w:rPr>
            </w:pPr>
            <w:r w:rsidRPr="00785A0B">
              <w:rPr>
                <w:rFonts w:cs="Arial"/>
                <w:i/>
                <w:szCs w:val="18"/>
                <w:lang w:val="en-GB"/>
              </w:rPr>
              <w:t>Time</w:t>
            </w:r>
          </w:p>
          <w:p w14:paraId="0B640FF1" w14:textId="77777777" w:rsidR="00C06843" w:rsidRPr="00785A0B" w:rsidRDefault="00FC7F33" w:rsidP="002E63F7">
            <w:pPr>
              <w:pStyle w:val="CETBodytext"/>
              <w:ind w:right="-1"/>
              <w:jc w:val="center"/>
              <w:rPr>
                <w:rFonts w:cs="Arial"/>
                <w:i/>
                <w:szCs w:val="18"/>
                <w:lang w:val="en-GB"/>
              </w:rPr>
            </w:pPr>
            <w:r w:rsidRPr="00785A0B">
              <w:rPr>
                <w:rFonts w:cs="Arial"/>
                <w:i/>
                <w:szCs w:val="18"/>
                <w:lang w:val="en-GB"/>
              </w:rPr>
              <w:t>(h)</w:t>
            </w:r>
          </w:p>
        </w:tc>
        <w:tc>
          <w:tcPr>
            <w:tcW w:w="1275" w:type="dxa"/>
            <w:tcBorders>
              <w:top w:val="single" w:sz="12" w:space="0" w:color="008000"/>
              <w:bottom w:val="single" w:sz="6" w:space="0" w:color="008000"/>
            </w:tcBorders>
            <w:shd w:val="clear" w:color="auto" w:fill="FFFFFF"/>
            <w:vAlign w:val="center"/>
          </w:tcPr>
          <w:p w14:paraId="18C43CE9" w14:textId="77777777" w:rsidR="00C06843" w:rsidRPr="00785A0B" w:rsidRDefault="00FC7F33" w:rsidP="002E63F7">
            <w:pPr>
              <w:pStyle w:val="CETBodytext"/>
              <w:ind w:right="-1"/>
              <w:jc w:val="center"/>
              <w:rPr>
                <w:rFonts w:cs="Arial"/>
                <w:i/>
                <w:szCs w:val="18"/>
                <w:lang w:val="en-GB"/>
              </w:rPr>
            </w:pPr>
            <w:r w:rsidRPr="00785A0B">
              <w:rPr>
                <w:rFonts w:cs="Arial"/>
                <w:i/>
                <w:szCs w:val="18"/>
                <w:lang w:val="en-GB"/>
              </w:rPr>
              <w:t>EL yield</w:t>
            </w:r>
          </w:p>
          <w:p w14:paraId="3B617E80" w14:textId="77777777" w:rsidR="00C06843" w:rsidRPr="00785A0B" w:rsidRDefault="00FC7F33" w:rsidP="002E63F7">
            <w:pPr>
              <w:pStyle w:val="CETBodytext"/>
              <w:ind w:right="-1"/>
              <w:jc w:val="center"/>
              <w:rPr>
                <w:rFonts w:cs="Arial"/>
                <w:i/>
                <w:szCs w:val="18"/>
                <w:lang w:val="en-GB"/>
              </w:rPr>
            </w:pPr>
            <w:r w:rsidRPr="00785A0B">
              <w:rPr>
                <w:rFonts w:cs="Arial"/>
                <w:i/>
                <w:szCs w:val="18"/>
                <w:lang w:val="en-GB"/>
              </w:rPr>
              <w:t>(wt. %)</w:t>
            </w:r>
          </w:p>
        </w:tc>
        <w:tc>
          <w:tcPr>
            <w:tcW w:w="1416" w:type="dxa"/>
            <w:tcBorders>
              <w:top w:val="single" w:sz="12" w:space="0" w:color="008000"/>
              <w:bottom w:val="single" w:sz="6" w:space="0" w:color="008000"/>
            </w:tcBorders>
            <w:shd w:val="clear" w:color="auto" w:fill="FFFFFF"/>
            <w:vAlign w:val="center"/>
          </w:tcPr>
          <w:p w14:paraId="263ED5C2" w14:textId="77777777" w:rsidR="00C06843" w:rsidRPr="00785A0B" w:rsidRDefault="00FC7F33" w:rsidP="002E63F7">
            <w:pPr>
              <w:pStyle w:val="CETBodytext"/>
              <w:ind w:right="-1"/>
              <w:jc w:val="center"/>
              <w:rPr>
                <w:rFonts w:cs="Arial"/>
                <w:i/>
                <w:szCs w:val="18"/>
                <w:lang w:val="en-GB"/>
              </w:rPr>
            </w:pPr>
            <w:r w:rsidRPr="00785A0B">
              <w:rPr>
                <w:rFonts w:cs="Arial"/>
                <w:i/>
                <w:szCs w:val="18"/>
                <w:lang w:val="en-GB"/>
              </w:rPr>
              <w:t>Solid yield</w:t>
            </w:r>
          </w:p>
          <w:p w14:paraId="539B4479" w14:textId="77777777" w:rsidR="00C06843" w:rsidRPr="00785A0B" w:rsidRDefault="00FC7F33" w:rsidP="002E63F7">
            <w:pPr>
              <w:pStyle w:val="CETBodytext"/>
              <w:ind w:right="-1"/>
              <w:jc w:val="center"/>
              <w:rPr>
                <w:rFonts w:cs="Arial"/>
                <w:i/>
                <w:szCs w:val="18"/>
                <w:lang w:val="en-GB"/>
              </w:rPr>
            </w:pPr>
            <w:r w:rsidRPr="00785A0B">
              <w:rPr>
                <w:rFonts w:cs="Arial"/>
                <w:i/>
                <w:szCs w:val="18"/>
                <w:lang w:val="en-GB"/>
              </w:rPr>
              <w:t>(wt. %)</w:t>
            </w:r>
          </w:p>
        </w:tc>
      </w:tr>
      <w:tr w:rsidR="00EC4B8E" w:rsidRPr="00785A0B" w14:paraId="07C5FB85" w14:textId="77777777" w:rsidTr="00A7221B">
        <w:tc>
          <w:tcPr>
            <w:tcW w:w="572" w:type="dxa"/>
            <w:shd w:val="clear" w:color="auto" w:fill="FFFFFF"/>
          </w:tcPr>
          <w:p w14:paraId="12D33F60" w14:textId="77777777" w:rsidR="0087422C" w:rsidRPr="00785A0B" w:rsidRDefault="00FC7F33" w:rsidP="00A7221B">
            <w:pPr>
              <w:pStyle w:val="CETBodytext"/>
              <w:jc w:val="center"/>
              <w:rPr>
                <w:lang w:val="en-GB"/>
              </w:rPr>
            </w:pPr>
            <w:r w:rsidRPr="00785A0B">
              <w:rPr>
                <w:lang w:val="en-GB"/>
              </w:rPr>
              <w:t>1</w:t>
            </w:r>
          </w:p>
        </w:tc>
        <w:tc>
          <w:tcPr>
            <w:tcW w:w="1838" w:type="dxa"/>
            <w:shd w:val="clear" w:color="auto" w:fill="FFFFFF"/>
          </w:tcPr>
          <w:p w14:paraId="4D330E41" w14:textId="77777777" w:rsidR="00EC4B8E" w:rsidRPr="00785A0B" w:rsidRDefault="00FC7F33" w:rsidP="00EC4B8E">
            <w:pPr>
              <w:pStyle w:val="CETBodytext"/>
              <w:jc w:val="center"/>
              <w:rPr>
                <w:lang w:val="en-GB"/>
              </w:rPr>
            </w:pPr>
            <w:r w:rsidRPr="00785A0B">
              <w:rPr>
                <w:lang w:val="en-GB"/>
              </w:rPr>
              <w:t>5</w:t>
            </w:r>
          </w:p>
        </w:tc>
        <w:tc>
          <w:tcPr>
            <w:tcW w:w="1276" w:type="dxa"/>
            <w:shd w:val="clear" w:color="auto" w:fill="FFFFFF"/>
          </w:tcPr>
          <w:p w14:paraId="3AB6BF49" w14:textId="77777777" w:rsidR="00C06843" w:rsidRPr="00785A0B" w:rsidRDefault="00FC7F33" w:rsidP="002E63F7">
            <w:pPr>
              <w:pStyle w:val="CETBodytext"/>
              <w:jc w:val="center"/>
              <w:rPr>
                <w:lang w:val="en-GB"/>
              </w:rPr>
            </w:pPr>
            <w:r w:rsidRPr="00785A0B">
              <w:rPr>
                <w:lang w:val="en-GB"/>
              </w:rPr>
              <w:t>2</w:t>
            </w:r>
          </w:p>
        </w:tc>
        <w:tc>
          <w:tcPr>
            <w:tcW w:w="1276" w:type="dxa"/>
            <w:shd w:val="clear" w:color="auto" w:fill="FFFFFF"/>
          </w:tcPr>
          <w:p w14:paraId="0FD52E09" w14:textId="77777777" w:rsidR="00C06843" w:rsidRPr="00785A0B" w:rsidRDefault="00FC7F33" w:rsidP="00216DD2">
            <w:pPr>
              <w:pStyle w:val="CETBodytext"/>
              <w:jc w:val="center"/>
              <w:rPr>
                <w:lang w:val="en-GB"/>
              </w:rPr>
            </w:pPr>
            <w:r w:rsidRPr="00785A0B">
              <w:rPr>
                <w:lang w:val="en-GB"/>
              </w:rPr>
              <w:t>140</w:t>
            </w:r>
          </w:p>
        </w:tc>
        <w:tc>
          <w:tcPr>
            <w:tcW w:w="1134" w:type="dxa"/>
            <w:shd w:val="clear" w:color="auto" w:fill="FFFFFF"/>
          </w:tcPr>
          <w:p w14:paraId="0053D2EF" w14:textId="77777777" w:rsidR="00C06843" w:rsidRPr="00785A0B" w:rsidRDefault="00FC7F33" w:rsidP="002E63F7">
            <w:pPr>
              <w:pStyle w:val="CETBodytext"/>
              <w:ind w:right="-1"/>
              <w:jc w:val="center"/>
              <w:rPr>
                <w:rFonts w:cs="Arial"/>
                <w:szCs w:val="18"/>
                <w:lang w:val="en-GB"/>
              </w:rPr>
            </w:pPr>
            <w:r w:rsidRPr="00785A0B">
              <w:rPr>
                <w:rFonts w:cs="Arial"/>
                <w:szCs w:val="18"/>
                <w:lang w:val="en-GB"/>
              </w:rPr>
              <w:t>3</w:t>
            </w:r>
          </w:p>
        </w:tc>
        <w:tc>
          <w:tcPr>
            <w:tcW w:w="1275" w:type="dxa"/>
            <w:shd w:val="clear" w:color="auto" w:fill="FFFFFF"/>
          </w:tcPr>
          <w:p w14:paraId="2ACFCF20" w14:textId="77777777" w:rsidR="00C06843" w:rsidRPr="00785A0B" w:rsidRDefault="00FC7F33" w:rsidP="00EC4B8E">
            <w:pPr>
              <w:pStyle w:val="CETBodytext"/>
              <w:ind w:right="-1"/>
              <w:jc w:val="center"/>
              <w:rPr>
                <w:rFonts w:cs="Arial"/>
                <w:szCs w:val="18"/>
                <w:lang w:val="en-GB"/>
              </w:rPr>
            </w:pPr>
            <w:r w:rsidRPr="00785A0B">
              <w:rPr>
                <w:rFonts w:cs="Arial"/>
                <w:szCs w:val="18"/>
                <w:lang w:val="en-GB"/>
              </w:rPr>
              <w:t>6.2</w:t>
            </w:r>
          </w:p>
        </w:tc>
        <w:tc>
          <w:tcPr>
            <w:tcW w:w="1416" w:type="dxa"/>
            <w:shd w:val="clear" w:color="auto" w:fill="FFFFFF"/>
          </w:tcPr>
          <w:p w14:paraId="0149D03A" w14:textId="77777777" w:rsidR="00C06843" w:rsidRPr="00785A0B" w:rsidRDefault="00FC7F33" w:rsidP="00BD2157">
            <w:pPr>
              <w:pStyle w:val="CETBodytext"/>
              <w:ind w:right="-1"/>
              <w:jc w:val="center"/>
              <w:rPr>
                <w:rFonts w:cs="Arial"/>
                <w:szCs w:val="18"/>
                <w:lang w:val="en-GB"/>
              </w:rPr>
            </w:pPr>
            <w:r w:rsidRPr="00785A0B">
              <w:rPr>
                <w:rFonts w:cs="Arial"/>
                <w:szCs w:val="18"/>
                <w:lang w:val="en-GB"/>
              </w:rPr>
              <w:t>45.6</w:t>
            </w:r>
          </w:p>
        </w:tc>
      </w:tr>
      <w:tr w:rsidR="00EC4B8E" w:rsidRPr="00785A0B" w14:paraId="11CF7593" w14:textId="77777777" w:rsidTr="00A7221B">
        <w:tc>
          <w:tcPr>
            <w:tcW w:w="572" w:type="dxa"/>
            <w:shd w:val="clear" w:color="auto" w:fill="FFFFFF"/>
          </w:tcPr>
          <w:p w14:paraId="514EC481" w14:textId="77777777" w:rsidR="0087422C" w:rsidRPr="00785A0B" w:rsidRDefault="00FC7F33" w:rsidP="00A7221B">
            <w:pPr>
              <w:pStyle w:val="CETBodytext"/>
              <w:jc w:val="center"/>
              <w:rPr>
                <w:lang w:val="en-GB"/>
              </w:rPr>
            </w:pPr>
            <w:r w:rsidRPr="00785A0B">
              <w:rPr>
                <w:lang w:val="en-GB"/>
              </w:rPr>
              <w:t>2</w:t>
            </w:r>
          </w:p>
          <w:p w14:paraId="55D56E21" w14:textId="77777777" w:rsidR="0087422C" w:rsidRPr="00785A0B" w:rsidRDefault="00FC7F33" w:rsidP="00A7221B">
            <w:pPr>
              <w:pStyle w:val="CETBodytext"/>
              <w:jc w:val="center"/>
              <w:rPr>
                <w:lang w:val="en-GB"/>
              </w:rPr>
            </w:pPr>
            <w:r w:rsidRPr="00785A0B">
              <w:rPr>
                <w:lang w:val="en-GB"/>
              </w:rPr>
              <w:t>3</w:t>
            </w:r>
          </w:p>
        </w:tc>
        <w:tc>
          <w:tcPr>
            <w:tcW w:w="1838" w:type="dxa"/>
            <w:shd w:val="clear" w:color="auto" w:fill="FFFFFF"/>
          </w:tcPr>
          <w:p w14:paraId="77EEC14D" w14:textId="77777777" w:rsidR="00C06843" w:rsidRPr="00785A0B" w:rsidRDefault="00FC7F33" w:rsidP="002E63F7">
            <w:pPr>
              <w:pStyle w:val="CETBodytext"/>
              <w:jc w:val="center"/>
              <w:rPr>
                <w:lang w:val="en-GB"/>
              </w:rPr>
            </w:pPr>
            <w:r w:rsidRPr="00785A0B">
              <w:rPr>
                <w:lang w:val="en-GB"/>
              </w:rPr>
              <w:t>5</w:t>
            </w:r>
          </w:p>
          <w:p w14:paraId="1D7A9498" w14:textId="77777777" w:rsidR="00EC4B8E" w:rsidRPr="00785A0B" w:rsidRDefault="00FC7F33" w:rsidP="002E63F7">
            <w:pPr>
              <w:pStyle w:val="CETBodytext"/>
              <w:jc w:val="center"/>
              <w:rPr>
                <w:lang w:val="en-GB"/>
              </w:rPr>
            </w:pPr>
            <w:r w:rsidRPr="00785A0B">
              <w:rPr>
                <w:lang w:val="en-GB"/>
              </w:rPr>
              <w:t>5</w:t>
            </w:r>
          </w:p>
        </w:tc>
        <w:tc>
          <w:tcPr>
            <w:tcW w:w="1276" w:type="dxa"/>
            <w:shd w:val="clear" w:color="auto" w:fill="FFFFFF"/>
          </w:tcPr>
          <w:p w14:paraId="02A35B2C" w14:textId="77777777" w:rsidR="00C06843" w:rsidRPr="00785A0B" w:rsidRDefault="00FC7F33" w:rsidP="002E63F7">
            <w:pPr>
              <w:pStyle w:val="CETBodytext"/>
              <w:jc w:val="center"/>
              <w:rPr>
                <w:lang w:val="en-GB"/>
              </w:rPr>
            </w:pPr>
            <w:r w:rsidRPr="00785A0B">
              <w:rPr>
                <w:lang w:val="en-GB"/>
              </w:rPr>
              <w:t>2</w:t>
            </w:r>
          </w:p>
          <w:p w14:paraId="4FED5331" w14:textId="77777777" w:rsidR="00C06843" w:rsidRPr="00785A0B" w:rsidRDefault="00FC7F33" w:rsidP="00216DD2">
            <w:pPr>
              <w:pStyle w:val="CETBodytext"/>
              <w:jc w:val="center"/>
              <w:rPr>
                <w:lang w:val="en-GB"/>
              </w:rPr>
            </w:pPr>
            <w:r w:rsidRPr="00785A0B">
              <w:rPr>
                <w:lang w:val="en-GB"/>
              </w:rPr>
              <w:t>2</w:t>
            </w:r>
          </w:p>
        </w:tc>
        <w:tc>
          <w:tcPr>
            <w:tcW w:w="1276" w:type="dxa"/>
            <w:shd w:val="clear" w:color="auto" w:fill="FFFFFF"/>
          </w:tcPr>
          <w:p w14:paraId="5E9D5F16" w14:textId="77777777" w:rsidR="00C06843" w:rsidRPr="00785A0B" w:rsidRDefault="00FC7F33" w:rsidP="00216DD2">
            <w:pPr>
              <w:pStyle w:val="CETBodytext"/>
              <w:jc w:val="center"/>
              <w:rPr>
                <w:lang w:val="en-GB"/>
              </w:rPr>
            </w:pPr>
            <w:r w:rsidRPr="00785A0B">
              <w:rPr>
                <w:lang w:val="en-GB"/>
              </w:rPr>
              <w:t>160</w:t>
            </w:r>
          </w:p>
          <w:p w14:paraId="5655A921" w14:textId="77777777" w:rsidR="00C06843" w:rsidRPr="00785A0B" w:rsidRDefault="00FC7F33" w:rsidP="00216DD2">
            <w:pPr>
              <w:pStyle w:val="CETBodytext"/>
              <w:jc w:val="center"/>
              <w:rPr>
                <w:lang w:val="en-GB"/>
              </w:rPr>
            </w:pPr>
            <w:r w:rsidRPr="00785A0B">
              <w:rPr>
                <w:lang w:val="en-GB"/>
              </w:rPr>
              <w:t>180</w:t>
            </w:r>
          </w:p>
        </w:tc>
        <w:tc>
          <w:tcPr>
            <w:tcW w:w="1134" w:type="dxa"/>
            <w:shd w:val="clear" w:color="auto" w:fill="FFFFFF"/>
          </w:tcPr>
          <w:p w14:paraId="2F464489" w14:textId="77777777" w:rsidR="00C06843" w:rsidRPr="00785A0B" w:rsidRDefault="00FC7F33" w:rsidP="002E63F7">
            <w:pPr>
              <w:pStyle w:val="CETBodytext"/>
              <w:ind w:right="-1"/>
              <w:jc w:val="center"/>
              <w:rPr>
                <w:rFonts w:cs="Arial"/>
                <w:szCs w:val="18"/>
                <w:lang w:val="en-GB"/>
              </w:rPr>
            </w:pPr>
            <w:r w:rsidRPr="00785A0B">
              <w:rPr>
                <w:rFonts w:cs="Arial"/>
                <w:szCs w:val="18"/>
                <w:lang w:val="en-GB"/>
              </w:rPr>
              <w:t>3</w:t>
            </w:r>
          </w:p>
          <w:p w14:paraId="35C004AD" w14:textId="77777777" w:rsidR="00C06843" w:rsidRPr="00785A0B" w:rsidRDefault="00FC7F33" w:rsidP="002E63F7">
            <w:pPr>
              <w:pStyle w:val="CETBodytext"/>
              <w:ind w:right="-1"/>
              <w:jc w:val="center"/>
              <w:rPr>
                <w:rFonts w:cs="Arial"/>
                <w:szCs w:val="18"/>
                <w:lang w:val="en-GB"/>
              </w:rPr>
            </w:pPr>
            <w:r w:rsidRPr="00785A0B">
              <w:rPr>
                <w:rFonts w:cs="Arial"/>
                <w:szCs w:val="18"/>
                <w:lang w:val="en-GB"/>
              </w:rPr>
              <w:t xml:space="preserve">3                       </w:t>
            </w:r>
          </w:p>
        </w:tc>
        <w:tc>
          <w:tcPr>
            <w:tcW w:w="1275" w:type="dxa"/>
            <w:shd w:val="clear" w:color="auto" w:fill="FFFFFF"/>
          </w:tcPr>
          <w:p w14:paraId="22803093" w14:textId="77777777" w:rsidR="00C06843" w:rsidRPr="00785A0B" w:rsidRDefault="00FC7F33" w:rsidP="00EC4B8E">
            <w:pPr>
              <w:pStyle w:val="CETBodytext"/>
              <w:ind w:right="-1"/>
              <w:jc w:val="center"/>
              <w:rPr>
                <w:rFonts w:cs="Arial"/>
                <w:szCs w:val="18"/>
                <w:lang w:val="en-GB"/>
              </w:rPr>
            </w:pPr>
            <w:r w:rsidRPr="00785A0B">
              <w:rPr>
                <w:rFonts w:cs="Arial"/>
                <w:szCs w:val="18"/>
                <w:lang w:val="en-GB"/>
              </w:rPr>
              <w:t>18.9</w:t>
            </w:r>
          </w:p>
          <w:p w14:paraId="2AD43512" w14:textId="77777777" w:rsidR="00C06843" w:rsidRPr="00785A0B" w:rsidRDefault="00FC7F33" w:rsidP="00EC4B8E">
            <w:pPr>
              <w:pStyle w:val="CETBodytext"/>
              <w:ind w:right="-1"/>
              <w:jc w:val="center"/>
              <w:rPr>
                <w:rFonts w:cs="Arial"/>
                <w:szCs w:val="18"/>
                <w:lang w:val="en-GB"/>
              </w:rPr>
            </w:pPr>
            <w:r w:rsidRPr="00785A0B">
              <w:rPr>
                <w:rFonts w:cs="Arial"/>
                <w:szCs w:val="18"/>
                <w:lang w:val="en-GB"/>
              </w:rPr>
              <w:t>32.4</w:t>
            </w:r>
          </w:p>
        </w:tc>
        <w:tc>
          <w:tcPr>
            <w:tcW w:w="1416" w:type="dxa"/>
            <w:shd w:val="clear" w:color="auto" w:fill="FFFFFF"/>
          </w:tcPr>
          <w:p w14:paraId="2A04B9D3" w14:textId="77777777" w:rsidR="00C06843" w:rsidRPr="00785A0B" w:rsidRDefault="00FC7F33" w:rsidP="002E63F7">
            <w:pPr>
              <w:pStyle w:val="CETBodytext"/>
              <w:ind w:right="-1"/>
              <w:jc w:val="center"/>
              <w:rPr>
                <w:rFonts w:cs="Arial"/>
                <w:szCs w:val="18"/>
                <w:lang w:val="en-GB"/>
              </w:rPr>
            </w:pPr>
            <w:r w:rsidRPr="00785A0B">
              <w:rPr>
                <w:rFonts w:cs="Arial"/>
                <w:szCs w:val="18"/>
                <w:lang w:val="en-GB"/>
              </w:rPr>
              <w:t>29.2</w:t>
            </w:r>
          </w:p>
          <w:p w14:paraId="125995AB" w14:textId="77777777" w:rsidR="00C06843" w:rsidRPr="00785A0B" w:rsidRDefault="00FC7F33" w:rsidP="00223ABC">
            <w:pPr>
              <w:pStyle w:val="CETBodytext"/>
              <w:ind w:right="-1"/>
              <w:jc w:val="center"/>
              <w:rPr>
                <w:rFonts w:cs="Arial"/>
                <w:szCs w:val="18"/>
                <w:lang w:val="en-GB"/>
              </w:rPr>
            </w:pPr>
            <w:r w:rsidRPr="00785A0B">
              <w:rPr>
                <w:rFonts w:cs="Arial"/>
                <w:szCs w:val="18"/>
                <w:lang w:val="en-GB"/>
              </w:rPr>
              <w:t>22.7</w:t>
            </w:r>
          </w:p>
        </w:tc>
      </w:tr>
      <w:tr w:rsidR="00EC4B8E" w:rsidRPr="00785A0B" w14:paraId="78D29BC2" w14:textId="77777777" w:rsidTr="00A7221B">
        <w:tc>
          <w:tcPr>
            <w:tcW w:w="572" w:type="dxa"/>
            <w:shd w:val="clear" w:color="auto" w:fill="FFFFFF"/>
          </w:tcPr>
          <w:p w14:paraId="5EDE4192" w14:textId="77777777" w:rsidR="0087422C" w:rsidRPr="00785A0B" w:rsidRDefault="00FC7F33" w:rsidP="00A7221B">
            <w:pPr>
              <w:pStyle w:val="CETBodytext"/>
              <w:jc w:val="center"/>
              <w:rPr>
                <w:lang w:val="en-GB"/>
              </w:rPr>
            </w:pPr>
            <w:r w:rsidRPr="00785A0B">
              <w:rPr>
                <w:lang w:val="en-GB"/>
              </w:rPr>
              <w:t>4</w:t>
            </w:r>
          </w:p>
        </w:tc>
        <w:tc>
          <w:tcPr>
            <w:tcW w:w="1838" w:type="dxa"/>
            <w:shd w:val="clear" w:color="auto" w:fill="FFFFFF"/>
          </w:tcPr>
          <w:p w14:paraId="0F866E96" w14:textId="77777777" w:rsidR="00C06843" w:rsidRPr="00785A0B" w:rsidRDefault="00FC7F33" w:rsidP="002E63F7">
            <w:pPr>
              <w:pStyle w:val="CETBodytext"/>
              <w:jc w:val="center"/>
              <w:rPr>
                <w:lang w:val="en-GB"/>
              </w:rPr>
            </w:pPr>
            <w:r w:rsidRPr="00785A0B">
              <w:rPr>
                <w:lang w:val="en-GB"/>
              </w:rPr>
              <w:t>5</w:t>
            </w:r>
          </w:p>
        </w:tc>
        <w:tc>
          <w:tcPr>
            <w:tcW w:w="1276" w:type="dxa"/>
            <w:shd w:val="clear" w:color="auto" w:fill="FFFFFF"/>
          </w:tcPr>
          <w:p w14:paraId="334D1D3A" w14:textId="77777777" w:rsidR="00C06843" w:rsidRPr="00785A0B" w:rsidRDefault="00FC7F33" w:rsidP="002E63F7">
            <w:pPr>
              <w:pStyle w:val="CETBodytext"/>
              <w:jc w:val="center"/>
              <w:rPr>
                <w:lang w:val="en-GB"/>
              </w:rPr>
            </w:pPr>
            <w:r w:rsidRPr="00785A0B">
              <w:rPr>
                <w:lang w:val="en-GB"/>
              </w:rPr>
              <w:t>2</w:t>
            </w:r>
          </w:p>
        </w:tc>
        <w:tc>
          <w:tcPr>
            <w:tcW w:w="1276" w:type="dxa"/>
            <w:shd w:val="clear" w:color="auto" w:fill="FFFFFF"/>
          </w:tcPr>
          <w:p w14:paraId="3066FE68" w14:textId="77777777" w:rsidR="00C06843" w:rsidRPr="00785A0B" w:rsidRDefault="00FC7F33" w:rsidP="002E63F7">
            <w:pPr>
              <w:pStyle w:val="CETBodytext"/>
              <w:jc w:val="center"/>
              <w:rPr>
                <w:lang w:val="en-GB"/>
              </w:rPr>
            </w:pPr>
            <w:r w:rsidRPr="00785A0B">
              <w:rPr>
                <w:lang w:val="en-GB"/>
              </w:rPr>
              <w:t>180</w:t>
            </w:r>
          </w:p>
        </w:tc>
        <w:tc>
          <w:tcPr>
            <w:tcW w:w="1134" w:type="dxa"/>
            <w:shd w:val="clear" w:color="auto" w:fill="FFFFFF"/>
          </w:tcPr>
          <w:p w14:paraId="7A3AA86E" w14:textId="77777777" w:rsidR="00C06843" w:rsidRPr="00785A0B" w:rsidRDefault="00FC7F33" w:rsidP="002E63F7">
            <w:pPr>
              <w:pStyle w:val="CETBodytext"/>
              <w:ind w:right="-1"/>
              <w:jc w:val="center"/>
              <w:rPr>
                <w:rFonts w:cs="Arial"/>
                <w:szCs w:val="18"/>
                <w:lang w:val="en-GB"/>
              </w:rPr>
            </w:pPr>
            <w:r w:rsidRPr="00785A0B">
              <w:rPr>
                <w:rFonts w:cs="Arial"/>
                <w:szCs w:val="18"/>
                <w:lang w:val="en-GB"/>
              </w:rPr>
              <w:t>5</w:t>
            </w:r>
          </w:p>
        </w:tc>
        <w:tc>
          <w:tcPr>
            <w:tcW w:w="1275" w:type="dxa"/>
            <w:shd w:val="clear" w:color="auto" w:fill="FFFFFF"/>
          </w:tcPr>
          <w:p w14:paraId="375C7D32" w14:textId="77777777" w:rsidR="00C06843" w:rsidRPr="00785A0B" w:rsidRDefault="00FC7F33" w:rsidP="00EC4B8E">
            <w:pPr>
              <w:pStyle w:val="CETBodytext"/>
              <w:ind w:right="-1"/>
              <w:jc w:val="center"/>
              <w:rPr>
                <w:rFonts w:cs="Arial"/>
                <w:szCs w:val="18"/>
                <w:lang w:val="en-GB"/>
              </w:rPr>
            </w:pPr>
            <w:r w:rsidRPr="00785A0B">
              <w:rPr>
                <w:rFonts w:cs="Arial"/>
                <w:szCs w:val="18"/>
                <w:lang w:val="en-GB"/>
              </w:rPr>
              <w:t>39,8</w:t>
            </w:r>
          </w:p>
        </w:tc>
        <w:tc>
          <w:tcPr>
            <w:tcW w:w="1416" w:type="dxa"/>
            <w:shd w:val="clear" w:color="auto" w:fill="FFFFFF"/>
          </w:tcPr>
          <w:p w14:paraId="723BBD1B" w14:textId="77777777" w:rsidR="00C06843" w:rsidRPr="00785A0B" w:rsidRDefault="00FC7F33" w:rsidP="00C06843">
            <w:pPr>
              <w:pStyle w:val="CETBodytext"/>
              <w:ind w:right="-1"/>
              <w:jc w:val="center"/>
              <w:rPr>
                <w:rFonts w:cs="Arial"/>
                <w:szCs w:val="18"/>
                <w:lang w:val="en-GB"/>
              </w:rPr>
            </w:pPr>
            <w:r w:rsidRPr="00785A0B">
              <w:rPr>
                <w:rFonts w:cs="Arial"/>
                <w:szCs w:val="18"/>
                <w:lang w:val="en-GB"/>
              </w:rPr>
              <w:t>31.4</w:t>
            </w:r>
          </w:p>
        </w:tc>
      </w:tr>
      <w:tr w:rsidR="00EC4B8E" w:rsidRPr="00785A0B" w14:paraId="62D1F45D" w14:textId="77777777" w:rsidTr="00A7221B">
        <w:tc>
          <w:tcPr>
            <w:tcW w:w="572" w:type="dxa"/>
            <w:shd w:val="clear" w:color="auto" w:fill="FFFFFF"/>
          </w:tcPr>
          <w:p w14:paraId="42AE517F" w14:textId="77777777" w:rsidR="0087422C" w:rsidRPr="00785A0B" w:rsidRDefault="00FC7F33" w:rsidP="00A7221B">
            <w:pPr>
              <w:pStyle w:val="CETBodytext"/>
              <w:jc w:val="center"/>
              <w:rPr>
                <w:lang w:val="en-GB"/>
              </w:rPr>
            </w:pPr>
            <w:r w:rsidRPr="00785A0B">
              <w:rPr>
                <w:lang w:val="en-GB"/>
              </w:rPr>
              <w:t>5</w:t>
            </w:r>
          </w:p>
          <w:p w14:paraId="34793DE5" w14:textId="77777777" w:rsidR="0087422C" w:rsidRPr="00785A0B" w:rsidRDefault="00FC7F33" w:rsidP="00A7221B">
            <w:pPr>
              <w:pStyle w:val="CETBodytext"/>
              <w:jc w:val="center"/>
              <w:rPr>
                <w:lang w:val="en-GB"/>
              </w:rPr>
            </w:pPr>
            <w:r w:rsidRPr="00785A0B">
              <w:rPr>
                <w:lang w:val="en-GB"/>
              </w:rPr>
              <w:t>6</w:t>
            </w:r>
          </w:p>
          <w:p w14:paraId="2A483BFB" w14:textId="77777777" w:rsidR="0087422C" w:rsidRPr="00785A0B" w:rsidRDefault="00FC7F33" w:rsidP="00A7221B">
            <w:pPr>
              <w:pStyle w:val="CETBodytext"/>
              <w:jc w:val="center"/>
              <w:rPr>
                <w:lang w:val="en-GB"/>
              </w:rPr>
            </w:pPr>
            <w:r w:rsidRPr="00785A0B">
              <w:rPr>
                <w:lang w:val="en-GB"/>
              </w:rPr>
              <w:t>7</w:t>
            </w:r>
          </w:p>
          <w:p w14:paraId="3031D218" w14:textId="77777777" w:rsidR="0087422C" w:rsidRPr="00785A0B" w:rsidRDefault="00FC7F33" w:rsidP="00A7221B">
            <w:pPr>
              <w:pStyle w:val="CETBodytext"/>
              <w:jc w:val="center"/>
              <w:rPr>
                <w:lang w:val="en-GB"/>
              </w:rPr>
            </w:pPr>
            <w:r w:rsidRPr="00785A0B">
              <w:rPr>
                <w:lang w:val="en-GB"/>
              </w:rPr>
              <w:t>8</w:t>
            </w:r>
          </w:p>
        </w:tc>
        <w:tc>
          <w:tcPr>
            <w:tcW w:w="1838" w:type="dxa"/>
            <w:shd w:val="clear" w:color="auto" w:fill="FFFFFF"/>
          </w:tcPr>
          <w:p w14:paraId="0255A842" w14:textId="77777777" w:rsidR="00C06843" w:rsidRPr="00785A0B" w:rsidRDefault="00FC7F33" w:rsidP="002E63F7">
            <w:pPr>
              <w:pStyle w:val="CETBodytext"/>
              <w:jc w:val="center"/>
              <w:rPr>
                <w:lang w:val="en-GB"/>
              </w:rPr>
            </w:pPr>
            <w:r w:rsidRPr="00785A0B">
              <w:rPr>
                <w:lang w:val="en-GB"/>
              </w:rPr>
              <w:t>14</w:t>
            </w:r>
          </w:p>
          <w:p w14:paraId="2B248EAC" w14:textId="77777777" w:rsidR="00EC4B8E" w:rsidRPr="00785A0B" w:rsidRDefault="00FC7F33" w:rsidP="002E63F7">
            <w:pPr>
              <w:pStyle w:val="CETBodytext"/>
              <w:jc w:val="center"/>
              <w:rPr>
                <w:lang w:val="en-GB"/>
              </w:rPr>
            </w:pPr>
            <w:r w:rsidRPr="00785A0B">
              <w:rPr>
                <w:lang w:val="en-GB"/>
              </w:rPr>
              <w:t>14</w:t>
            </w:r>
          </w:p>
          <w:p w14:paraId="348213C9" w14:textId="77777777" w:rsidR="00EC4B8E" w:rsidRPr="00785A0B" w:rsidRDefault="00FC7F33" w:rsidP="002E63F7">
            <w:pPr>
              <w:pStyle w:val="CETBodytext"/>
              <w:jc w:val="center"/>
              <w:rPr>
                <w:lang w:val="en-GB"/>
              </w:rPr>
            </w:pPr>
            <w:r w:rsidRPr="00785A0B">
              <w:rPr>
                <w:lang w:val="en-GB"/>
              </w:rPr>
              <w:t>14</w:t>
            </w:r>
          </w:p>
          <w:p w14:paraId="7D3DD271" w14:textId="77777777" w:rsidR="00EC4B8E" w:rsidRPr="00785A0B" w:rsidRDefault="00FC7F33" w:rsidP="002E63F7">
            <w:pPr>
              <w:pStyle w:val="CETBodytext"/>
              <w:jc w:val="center"/>
              <w:rPr>
                <w:lang w:val="en-GB"/>
              </w:rPr>
            </w:pPr>
            <w:r w:rsidRPr="00785A0B">
              <w:rPr>
                <w:lang w:val="en-GB"/>
              </w:rPr>
              <w:t>14</w:t>
            </w:r>
          </w:p>
        </w:tc>
        <w:tc>
          <w:tcPr>
            <w:tcW w:w="1276" w:type="dxa"/>
            <w:shd w:val="clear" w:color="auto" w:fill="FFFFFF"/>
          </w:tcPr>
          <w:p w14:paraId="47BF43BE" w14:textId="77777777" w:rsidR="00C06843" w:rsidRPr="00785A0B" w:rsidRDefault="00FC7F33" w:rsidP="002E63F7">
            <w:pPr>
              <w:pStyle w:val="CETBodytext"/>
              <w:jc w:val="center"/>
              <w:rPr>
                <w:lang w:val="en-GB"/>
              </w:rPr>
            </w:pPr>
            <w:r w:rsidRPr="00785A0B">
              <w:rPr>
                <w:lang w:val="en-GB"/>
              </w:rPr>
              <w:t>2</w:t>
            </w:r>
          </w:p>
          <w:p w14:paraId="0F96B242" w14:textId="77777777" w:rsidR="00C06843" w:rsidRPr="00785A0B" w:rsidRDefault="00FC7F33" w:rsidP="002E63F7">
            <w:pPr>
              <w:pStyle w:val="CETBodytext"/>
              <w:jc w:val="center"/>
              <w:rPr>
                <w:lang w:val="en-GB"/>
              </w:rPr>
            </w:pPr>
            <w:r w:rsidRPr="00785A0B">
              <w:rPr>
                <w:lang w:val="en-GB"/>
              </w:rPr>
              <w:t>3</w:t>
            </w:r>
          </w:p>
          <w:p w14:paraId="23414679" w14:textId="77777777" w:rsidR="00C06843" w:rsidRPr="00785A0B" w:rsidRDefault="00FC7F33" w:rsidP="002E63F7">
            <w:pPr>
              <w:pStyle w:val="CETBodytext"/>
              <w:jc w:val="center"/>
              <w:rPr>
                <w:lang w:val="en-GB"/>
              </w:rPr>
            </w:pPr>
            <w:r w:rsidRPr="00785A0B">
              <w:rPr>
                <w:lang w:val="en-GB"/>
              </w:rPr>
              <w:t>3</w:t>
            </w:r>
          </w:p>
          <w:p w14:paraId="1A396826" w14:textId="77777777" w:rsidR="00C06843" w:rsidRPr="00785A0B" w:rsidRDefault="00FC7F33" w:rsidP="002E63F7">
            <w:pPr>
              <w:pStyle w:val="CETBodytext"/>
              <w:jc w:val="center"/>
              <w:rPr>
                <w:lang w:val="en-GB"/>
              </w:rPr>
            </w:pPr>
            <w:r w:rsidRPr="00785A0B">
              <w:rPr>
                <w:lang w:val="en-GB"/>
              </w:rPr>
              <w:t>3</w:t>
            </w:r>
          </w:p>
        </w:tc>
        <w:tc>
          <w:tcPr>
            <w:tcW w:w="1276" w:type="dxa"/>
            <w:shd w:val="clear" w:color="auto" w:fill="FFFFFF"/>
          </w:tcPr>
          <w:p w14:paraId="275D4BA1" w14:textId="77777777" w:rsidR="00C06843" w:rsidRPr="00785A0B" w:rsidRDefault="00FC7F33" w:rsidP="002E63F7">
            <w:pPr>
              <w:pStyle w:val="CETBodytext"/>
              <w:jc w:val="center"/>
              <w:rPr>
                <w:lang w:val="en-GB"/>
              </w:rPr>
            </w:pPr>
            <w:r w:rsidRPr="00785A0B">
              <w:rPr>
                <w:lang w:val="en-GB"/>
              </w:rPr>
              <w:t>180</w:t>
            </w:r>
          </w:p>
          <w:p w14:paraId="412B2074" w14:textId="77777777" w:rsidR="00C06843" w:rsidRPr="00785A0B" w:rsidRDefault="00FC7F33" w:rsidP="002E63F7">
            <w:pPr>
              <w:pStyle w:val="CETBodytext"/>
              <w:jc w:val="center"/>
              <w:rPr>
                <w:lang w:val="en-GB"/>
              </w:rPr>
            </w:pPr>
            <w:r w:rsidRPr="00785A0B">
              <w:rPr>
                <w:lang w:val="en-GB"/>
              </w:rPr>
              <w:t>180</w:t>
            </w:r>
          </w:p>
          <w:p w14:paraId="2E88C820" w14:textId="77777777" w:rsidR="00C06843" w:rsidRPr="00785A0B" w:rsidRDefault="00FC7F33" w:rsidP="002E63F7">
            <w:pPr>
              <w:pStyle w:val="CETBodytext"/>
              <w:jc w:val="center"/>
              <w:rPr>
                <w:lang w:val="en-GB"/>
              </w:rPr>
            </w:pPr>
            <w:r w:rsidRPr="00785A0B">
              <w:rPr>
                <w:lang w:val="en-GB"/>
              </w:rPr>
              <w:t>180</w:t>
            </w:r>
          </w:p>
          <w:p w14:paraId="50724020" w14:textId="77777777" w:rsidR="00C06843" w:rsidRPr="00785A0B" w:rsidRDefault="00FC7F33" w:rsidP="002E63F7">
            <w:pPr>
              <w:pStyle w:val="CETBodytext"/>
              <w:jc w:val="center"/>
              <w:rPr>
                <w:lang w:val="en-GB"/>
              </w:rPr>
            </w:pPr>
            <w:r w:rsidRPr="00785A0B">
              <w:rPr>
                <w:lang w:val="en-GB"/>
              </w:rPr>
              <w:t>190</w:t>
            </w:r>
          </w:p>
        </w:tc>
        <w:tc>
          <w:tcPr>
            <w:tcW w:w="1134" w:type="dxa"/>
            <w:shd w:val="clear" w:color="auto" w:fill="FFFFFF"/>
          </w:tcPr>
          <w:p w14:paraId="4A12F6EC" w14:textId="77777777" w:rsidR="00C06843" w:rsidRPr="00785A0B" w:rsidRDefault="00FC7F33" w:rsidP="002E63F7">
            <w:pPr>
              <w:pStyle w:val="CETBodytext"/>
              <w:ind w:right="-1"/>
              <w:jc w:val="center"/>
              <w:rPr>
                <w:rFonts w:cs="Arial"/>
                <w:szCs w:val="18"/>
                <w:lang w:val="en-GB"/>
              </w:rPr>
            </w:pPr>
            <w:r w:rsidRPr="00785A0B">
              <w:rPr>
                <w:rFonts w:cs="Arial"/>
                <w:szCs w:val="18"/>
                <w:lang w:val="en-GB"/>
              </w:rPr>
              <w:t>3</w:t>
            </w:r>
          </w:p>
          <w:p w14:paraId="549799C5" w14:textId="77777777" w:rsidR="00C06843" w:rsidRPr="00785A0B" w:rsidRDefault="00FC7F33" w:rsidP="002E63F7">
            <w:pPr>
              <w:pStyle w:val="CETBodytext"/>
              <w:ind w:right="-1"/>
              <w:jc w:val="center"/>
              <w:rPr>
                <w:rFonts w:cs="Arial"/>
                <w:szCs w:val="18"/>
                <w:lang w:val="en-GB"/>
              </w:rPr>
            </w:pPr>
            <w:r w:rsidRPr="00785A0B">
              <w:rPr>
                <w:rFonts w:cs="Arial"/>
                <w:szCs w:val="18"/>
                <w:lang w:val="en-GB"/>
              </w:rPr>
              <w:t>3</w:t>
            </w:r>
          </w:p>
          <w:p w14:paraId="56F2F2D5" w14:textId="77777777" w:rsidR="00C06843" w:rsidRPr="00785A0B" w:rsidRDefault="00FC7F33" w:rsidP="002E63F7">
            <w:pPr>
              <w:pStyle w:val="CETBodytext"/>
              <w:ind w:right="-1"/>
              <w:jc w:val="center"/>
              <w:rPr>
                <w:rFonts w:cs="Arial"/>
                <w:szCs w:val="18"/>
                <w:lang w:val="en-GB"/>
              </w:rPr>
            </w:pPr>
            <w:r w:rsidRPr="00785A0B">
              <w:rPr>
                <w:rFonts w:cs="Arial"/>
                <w:szCs w:val="18"/>
                <w:lang w:val="en-GB"/>
              </w:rPr>
              <w:t>5</w:t>
            </w:r>
          </w:p>
          <w:p w14:paraId="415AAE2B" w14:textId="77777777" w:rsidR="00C06843" w:rsidRPr="00785A0B" w:rsidRDefault="00FC7F33" w:rsidP="002E63F7">
            <w:pPr>
              <w:pStyle w:val="CETBodytext"/>
              <w:ind w:right="-1"/>
              <w:jc w:val="center"/>
              <w:rPr>
                <w:rFonts w:cs="Arial"/>
                <w:szCs w:val="18"/>
                <w:lang w:val="en-GB"/>
              </w:rPr>
            </w:pPr>
            <w:r w:rsidRPr="00785A0B">
              <w:rPr>
                <w:rFonts w:cs="Arial"/>
                <w:szCs w:val="18"/>
                <w:lang w:val="en-GB"/>
              </w:rPr>
              <w:t>5</w:t>
            </w:r>
          </w:p>
        </w:tc>
        <w:tc>
          <w:tcPr>
            <w:tcW w:w="1275" w:type="dxa"/>
            <w:shd w:val="clear" w:color="auto" w:fill="FFFFFF"/>
          </w:tcPr>
          <w:p w14:paraId="4ED88AD3" w14:textId="77777777" w:rsidR="00C06843" w:rsidRPr="00785A0B" w:rsidRDefault="00FC7F33" w:rsidP="00EC4B8E">
            <w:pPr>
              <w:pStyle w:val="CETBodytext"/>
              <w:ind w:right="-1"/>
              <w:jc w:val="center"/>
              <w:rPr>
                <w:rFonts w:cs="Arial"/>
                <w:szCs w:val="18"/>
                <w:lang w:val="en-GB"/>
              </w:rPr>
            </w:pPr>
            <w:r w:rsidRPr="00785A0B">
              <w:rPr>
                <w:rFonts w:cs="Arial"/>
                <w:szCs w:val="18"/>
                <w:lang w:val="en-GB"/>
              </w:rPr>
              <w:t>28.7</w:t>
            </w:r>
          </w:p>
          <w:p w14:paraId="6452AD5F" w14:textId="77777777" w:rsidR="00C06843" w:rsidRPr="00785A0B" w:rsidRDefault="00FC7F33" w:rsidP="00EC4B8E">
            <w:pPr>
              <w:pStyle w:val="CETBodytext"/>
              <w:ind w:right="-1"/>
              <w:jc w:val="center"/>
              <w:rPr>
                <w:rFonts w:cs="Arial"/>
                <w:szCs w:val="18"/>
                <w:lang w:val="en-GB"/>
              </w:rPr>
            </w:pPr>
            <w:r w:rsidRPr="00785A0B">
              <w:rPr>
                <w:rFonts w:cs="Arial"/>
                <w:szCs w:val="18"/>
                <w:lang w:val="en-GB"/>
              </w:rPr>
              <w:t>32.9</w:t>
            </w:r>
          </w:p>
          <w:p w14:paraId="52D204DB" w14:textId="77777777" w:rsidR="0087422C" w:rsidRPr="00785A0B" w:rsidRDefault="00FC7F33">
            <w:pPr>
              <w:pStyle w:val="CETBodytext"/>
              <w:ind w:right="-1"/>
              <w:jc w:val="center"/>
              <w:rPr>
                <w:rFonts w:cs="Arial"/>
                <w:szCs w:val="18"/>
                <w:lang w:val="en-GB"/>
              </w:rPr>
            </w:pPr>
            <w:r w:rsidRPr="00785A0B">
              <w:rPr>
                <w:rFonts w:cs="Arial"/>
                <w:szCs w:val="18"/>
                <w:lang w:val="en-GB"/>
              </w:rPr>
              <w:t>35.7</w:t>
            </w:r>
          </w:p>
          <w:p w14:paraId="5E111C40" w14:textId="77777777" w:rsidR="0087422C" w:rsidRPr="00785A0B" w:rsidRDefault="00FC7F33">
            <w:pPr>
              <w:pStyle w:val="CETBodytext"/>
              <w:ind w:right="-1"/>
              <w:jc w:val="center"/>
              <w:rPr>
                <w:rFonts w:cs="Arial"/>
                <w:szCs w:val="18"/>
                <w:lang w:val="en-GB"/>
              </w:rPr>
            </w:pPr>
            <w:r w:rsidRPr="00785A0B">
              <w:rPr>
                <w:rFonts w:cs="Arial"/>
                <w:szCs w:val="18"/>
                <w:lang w:val="en-GB"/>
              </w:rPr>
              <w:t>31.6</w:t>
            </w:r>
          </w:p>
        </w:tc>
        <w:tc>
          <w:tcPr>
            <w:tcW w:w="1416" w:type="dxa"/>
            <w:shd w:val="clear" w:color="auto" w:fill="FFFFFF"/>
          </w:tcPr>
          <w:p w14:paraId="5175A328" w14:textId="77777777" w:rsidR="00C06843" w:rsidRPr="00785A0B" w:rsidRDefault="00FC7F33" w:rsidP="002E63F7">
            <w:pPr>
              <w:pStyle w:val="CETBodytext"/>
              <w:ind w:right="-1"/>
              <w:jc w:val="center"/>
              <w:rPr>
                <w:rFonts w:cs="Arial"/>
                <w:szCs w:val="18"/>
                <w:lang w:val="en-GB"/>
              </w:rPr>
            </w:pPr>
            <w:r w:rsidRPr="00785A0B">
              <w:rPr>
                <w:rFonts w:cs="Arial"/>
                <w:szCs w:val="18"/>
                <w:lang w:val="en-GB"/>
              </w:rPr>
              <w:t>23.5</w:t>
            </w:r>
          </w:p>
          <w:p w14:paraId="2901228E" w14:textId="77777777" w:rsidR="00C06843" w:rsidRPr="00785A0B" w:rsidRDefault="00FC7F33" w:rsidP="002128C9">
            <w:pPr>
              <w:pStyle w:val="CETBodytext"/>
              <w:ind w:right="-1"/>
              <w:jc w:val="center"/>
              <w:rPr>
                <w:rFonts w:cs="Arial"/>
                <w:szCs w:val="18"/>
                <w:lang w:val="en-GB"/>
              </w:rPr>
            </w:pPr>
            <w:r w:rsidRPr="00785A0B">
              <w:rPr>
                <w:rFonts w:cs="Arial"/>
                <w:szCs w:val="18"/>
                <w:lang w:val="en-GB"/>
              </w:rPr>
              <w:t>32.7</w:t>
            </w:r>
          </w:p>
          <w:p w14:paraId="2B976014" w14:textId="77777777" w:rsidR="00C06843" w:rsidRPr="00785A0B" w:rsidRDefault="00FC7F33" w:rsidP="002128C9">
            <w:pPr>
              <w:pStyle w:val="CETBodytext"/>
              <w:ind w:right="-1"/>
              <w:jc w:val="center"/>
              <w:rPr>
                <w:rFonts w:cs="Arial"/>
                <w:szCs w:val="18"/>
                <w:lang w:val="en-GB"/>
              </w:rPr>
            </w:pPr>
            <w:r w:rsidRPr="00785A0B">
              <w:rPr>
                <w:rFonts w:cs="Arial"/>
                <w:szCs w:val="18"/>
                <w:lang w:val="en-GB"/>
              </w:rPr>
              <w:t>34.9</w:t>
            </w:r>
          </w:p>
          <w:p w14:paraId="694DA579" w14:textId="77777777" w:rsidR="00C06843" w:rsidRPr="00785A0B" w:rsidRDefault="00FC7F33" w:rsidP="002128C9">
            <w:pPr>
              <w:pStyle w:val="CETBodytext"/>
              <w:ind w:right="-1"/>
              <w:jc w:val="center"/>
              <w:rPr>
                <w:rFonts w:cs="Arial"/>
                <w:szCs w:val="18"/>
                <w:lang w:val="en-GB"/>
              </w:rPr>
            </w:pPr>
            <w:r w:rsidRPr="00785A0B">
              <w:rPr>
                <w:rFonts w:cs="Arial"/>
                <w:szCs w:val="18"/>
                <w:lang w:val="en-GB"/>
              </w:rPr>
              <w:t>38.1</w:t>
            </w:r>
          </w:p>
        </w:tc>
      </w:tr>
    </w:tbl>
    <w:p w14:paraId="1275DC01" w14:textId="77777777" w:rsidR="00326508" w:rsidRDefault="00FC7F33" w:rsidP="00223207">
      <w:pPr>
        <w:shd w:val="clear" w:color="auto" w:fill="FFFFFF"/>
        <w:spacing w:before="240" w:line="276" w:lineRule="auto"/>
        <w:rPr>
          <w:rFonts w:cs="Arial"/>
          <w:szCs w:val="18"/>
          <w:lang w:val="en-US"/>
        </w:rPr>
      </w:pPr>
      <w:r w:rsidRPr="00785A0B">
        <w:rPr>
          <w:rFonts w:cs="Arial"/>
          <w:szCs w:val="18"/>
          <w:lang w:val="en-US"/>
        </w:rPr>
        <w:t>These preliminary results well evidence that the implementation of real biomass ethanolysis is significantly influenced by the synergism of the main reaction parameters, thus suggesting for the future research to</w:t>
      </w:r>
      <w:r w:rsidRPr="00785A0B">
        <w:t xml:space="preserve"> </w:t>
      </w:r>
      <w:r w:rsidRPr="00785A0B">
        <w:rPr>
          <w:rFonts w:cs="Arial"/>
          <w:szCs w:val="18"/>
          <w:lang w:val="en-US"/>
        </w:rPr>
        <w:t>move beyond the OFA</w:t>
      </w:r>
      <w:r w:rsidR="00665050" w:rsidRPr="00785A0B">
        <w:rPr>
          <w:rFonts w:cs="Arial"/>
          <w:szCs w:val="18"/>
          <w:lang w:val="en-US"/>
        </w:rPr>
        <w:t>T</w:t>
      </w:r>
      <w:r w:rsidRPr="00785A0B">
        <w:rPr>
          <w:rFonts w:cs="Arial"/>
          <w:szCs w:val="18"/>
          <w:lang w:val="en-US"/>
        </w:rPr>
        <w:t xml:space="preserve"> approach by adopting a </w:t>
      </w:r>
      <w:r w:rsidRPr="00785A0B">
        <w:t>multivariate approach based on the Response Surface Methodology.</w:t>
      </w:r>
    </w:p>
    <w:p w14:paraId="0E442AFF" w14:textId="1823E61E" w:rsidR="00921EF4" w:rsidRPr="00921EF4" w:rsidRDefault="00921EF4" w:rsidP="00575AA4">
      <w:pPr>
        <w:pStyle w:val="CETBodytext"/>
        <w:spacing w:before="120" w:after="120"/>
        <w:rPr>
          <w:rFonts w:cs="Arial"/>
          <w:b/>
          <w:i/>
          <w:szCs w:val="18"/>
        </w:rPr>
      </w:pPr>
      <w:r w:rsidRPr="00921EF4">
        <w:rPr>
          <w:rFonts w:cs="Arial"/>
          <w:b/>
          <w:i/>
          <w:szCs w:val="18"/>
        </w:rPr>
        <w:t>3.2 Engine testing</w:t>
      </w:r>
    </w:p>
    <w:p w14:paraId="4E85E010" w14:textId="587B53A1" w:rsidR="00EC728F" w:rsidRDefault="00EC728F" w:rsidP="00BA4DCE">
      <w:pPr>
        <w:pStyle w:val="CETBodytext"/>
        <w:rPr>
          <w:rFonts w:cs="Arial"/>
          <w:szCs w:val="18"/>
        </w:rPr>
      </w:pPr>
      <w:r w:rsidRPr="00EC728F">
        <w:rPr>
          <w:rFonts w:cs="Arial"/>
          <w:szCs w:val="18"/>
        </w:rPr>
        <w:t xml:space="preserve">The </w:t>
      </w:r>
      <w:r w:rsidR="006B481B">
        <w:rPr>
          <w:rFonts w:cs="Arial"/>
          <w:szCs w:val="18"/>
        </w:rPr>
        <w:t>possibility of using</w:t>
      </w:r>
      <w:r w:rsidRPr="00EC728F">
        <w:rPr>
          <w:rFonts w:cs="Arial"/>
          <w:szCs w:val="18"/>
        </w:rPr>
        <w:t xml:space="preserve"> EL </w:t>
      </w:r>
      <w:r w:rsidR="006B481B">
        <w:rPr>
          <w:rFonts w:cs="Arial"/>
          <w:szCs w:val="18"/>
        </w:rPr>
        <w:t xml:space="preserve">as fuel additive </w:t>
      </w:r>
      <w:r w:rsidRPr="00EC728F">
        <w:rPr>
          <w:rFonts w:cs="Arial"/>
          <w:szCs w:val="18"/>
        </w:rPr>
        <w:t xml:space="preserve">was </w:t>
      </w:r>
      <w:r w:rsidR="00DF7B2E">
        <w:rPr>
          <w:rFonts w:cs="Arial"/>
          <w:szCs w:val="18"/>
        </w:rPr>
        <w:t xml:space="preserve">then </w:t>
      </w:r>
      <w:r w:rsidR="006B481B">
        <w:rPr>
          <w:rFonts w:cs="Arial"/>
          <w:szCs w:val="18"/>
        </w:rPr>
        <w:t xml:space="preserve">verified </w:t>
      </w:r>
      <w:r w:rsidR="003E7672">
        <w:rPr>
          <w:rFonts w:cs="Arial"/>
          <w:szCs w:val="18"/>
        </w:rPr>
        <w:t xml:space="preserve">utilizing a </w:t>
      </w:r>
      <w:r w:rsidR="006B481B">
        <w:rPr>
          <w:rFonts w:cs="Arial"/>
          <w:szCs w:val="18"/>
        </w:rPr>
        <w:t xml:space="preserve">four-stroke, </w:t>
      </w:r>
      <w:r w:rsidR="00E01661">
        <w:rPr>
          <w:rFonts w:cs="Arial"/>
          <w:szCs w:val="18"/>
        </w:rPr>
        <w:t>one-liter</w:t>
      </w:r>
      <w:r w:rsidR="006B481B">
        <w:rPr>
          <w:rFonts w:cs="Arial"/>
          <w:szCs w:val="18"/>
        </w:rPr>
        <w:t xml:space="preserve"> gasoline</w:t>
      </w:r>
      <w:r w:rsidR="003E7672">
        <w:rPr>
          <w:rFonts w:cs="Arial"/>
          <w:szCs w:val="18"/>
        </w:rPr>
        <w:t xml:space="preserve"> engine, whose main characteristics are shown in Table 2</w:t>
      </w:r>
      <w:r w:rsidRPr="00EC728F">
        <w:rPr>
          <w:rFonts w:cs="Arial"/>
          <w:szCs w:val="18"/>
        </w:rPr>
        <w:t xml:space="preserve">. </w:t>
      </w:r>
      <w:r w:rsidR="003E7672">
        <w:rPr>
          <w:rFonts w:cs="Arial"/>
          <w:szCs w:val="18"/>
        </w:rPr>
        <w:t>A</w:t>
      </w:r>
      <w:r w:rsidRPr="00EC728F">
        <w:rPr>
          <w:rFonts w:cs="Arial"/>
          <w:szCs w:val="18"/>
        </w:rPr>
        <w:t xml:space="preserve"> mixtures have been prepared blending EL with a commercial gasoline fuel at 10 vol%, which represent a realistic dilution for commercial fuels</w:t>
      </w:r>
      <w:r w:rsidR="004D1688">
        <w:rPr>
          <w:rFonts w:cs="Arial"/>
          <w:szCs w:val="18"/>
        </w:rPr>
        <w:t xml:space="preserve"> (</w:t>
      </w:r>
      <w:r w:rsidR="006B481B">
        <w:rPr>
          <w:rFonts w:cs="Arial"/>
          <w:szCs w:val="18"/>
        </w:rPr>
        <w:t>at present,</w:t>
      </w:r>
      <w:r w:rsidR="004D1688">
        <w:rPr>
          <w:rFonts w:cs="Arial"/>
          <w:szCs w:val="18"/>
        </w:rPr>
        <w:t xml:space="preserve"> transport fuels contain 5% by volume of bio-ethanol, as regard gasoline, and 7% of bio-Diesel, as regards Diesel fuels). </w:t>
      </w:r>
      <w:r w:rsidRPr="00EC728F">
        <w:rPr>
          <w:rFonts w:cs="Arial"/>
          <w:szCs w:val="18"/>
        </w:rPr>
        <w:t xml:space="preserve">Table </w:t>
      </w:r>
      <w:r w:rsidR="003E7672">
        <w:rPr>
          <w:rFonts w:cs="Arial"/>
          <w:szCs w:val="18"/>
        </w:rPr>
        <w:t>3</w:t>
      </w:r>
      <w:r w:rsidRPr="00EC728F">
        <w:rPr>
          <w:rFonts w:cs="Arial"/>
          <w:szCs w:val="18"/>
        </w:rPr>
        <w:t xml:space="preserve"> compares EL main properties with those of a commercial gasoline fuel</w:t>
      </w:r>
      <w:r w:rsidR="00D64097">
        <w:rPr>
          <w:rFonts w:cs="Arial"/>
          <w:szCs w:val="18"/>
        </w:rPr>
        <w:t>.</w:t>
      </w:r>
    </w:p>
    <w:p w14:paraId="00F1AD84" w14:textId="6AE3FF69" w:rsidR="00105129" w:rsidRDefault="00105129" w:rsidP="00BA4DCE">
      <w:pPr>
        <w:pStyle w:val="CETBodytext"/>
        <w:rPr>
          <w:rFonts w:cs="Arial"/>
          <w:szCs w:val="18"/>
        </w:rPr>
      </w:pPr>
      <w:r>
        <w:rPr>
          <w:rFonts w:cs="Arial"/>
          <w:szCs w:val="18"/>
        </w:rPr>
        <w:t>Engines p</w:t>
      </w:r>
      <w:r w:rsidRPr="00A71888">
        <w:rPr>
          <w:rFonts w:cs="Arial"/>
          <w:szCs w:val="18"/>
        </w:rPr>
        <w:t>erformance w</w:t>
      </w:r>
      <w:r>
        <w:rPr>
          <w:rFonts w:cs="Arial"/>
          <w:szCs w:val="18"/>
        </w:rPr>
        <w:t>ere</w:t>
      </w:r>
      <w:r w:rsidR="00BA4DCE">
        <w:rPr>
          <w:rFonts w:cs="Arial"/>
          <w:szCs w:val="18"/>
        </w:rPr>
        <w:t xml:space="preserve"> </w:t>
      </w:r>
      <w:r>
        <w:rPr>
          <w:rFonts w:cs="Arial"/>
          <w:szCs w:val="18"/>
        </w:rPr>
        <w:t>measur</w:t>
      </w:r>
      <w:r w:rsidRPr="00A71888">
        <w:rPr>
          <w:rFonts w:cs="Arial"/>
          <w:szCs w:val="18"/>
        </w:rPr>
        <w:t xml:space="preserve">ed by coupling the Diesel </w:t>
      </w:r>
      <w:r>
        <w:rPr>
          <w:rFonts w:cs="Arial"/>
          <w:szCs w:val="18"/>
        </w:rPr>
        <w:t xml:space="preserve">and gasoline </w:t>
      </w:r>
      <w:r w:rsidRPr="00A71888">
        <w:rPr>
          <w:rFonts w:cs="Arial"/>
          <w:szCs w:val="18"/>
        </w:rPr>
        <w:t>engine</w:t>
      </w:r>
      <w:r>
        <w:rPr>
          <w:rFonts w:cs="Arial"/>
          <w:szCs w:val="18"/>
        </w:rPr>
        <w:t>s</w:t>
      </w:r>
      <w:r w:rsidRPr="00A71888">
        <w:rPr>
          <w:rFonts w:cs="Arial"/>
          <w:szCs w:val="18"/>
        </w:rPr>
        <w:t xml:space="preserve"> with a Borghi&amp;Saveri eddy current brake. An AVL gravimetric fuel balance was used for the measure</w:t>
      </w:r>
      <w:r w:rsidR="004D1688">
        <w:rPr>
          <w:rFonts w:cs="Arial"/>
          <w:szCs w:val="18"/>
        </w:rPr>
        <w:t>ment</w:t>
      </w:r>
      <w:r w:rsidRPr="00A71888">
        <w:rPr>
          <w:rFonts w:cs="Arial"/>
          <w:szCs w:val="18"/>
        </w:rPr>
        <w:t xml:space="preserve"> of the fuel consumption, while pollutant emissions were measured through an AVL DiTest Gas1000. An exhaust gas K-type thermocouple was located at the engine</w:t>
      </w:r>
      <w:r>
        <w:rPr>
          <w:rFonts w:cs="Arial"/>
          <w:szCs w:val="18"/>
        </w:rPr>
        <w:t>s</w:t>
      </w:r>
      <w:r w:rsidRPr="00A71888">
        <w:rPr>
          <w:rFonts w:cs="Arial"/>
          <w:szCs w:val="18"/>
        </w:rPr>
        <w:t xml:space="preserve"> exhaust to verify the steady state conditions reach. After stabilization in each operating condition, data were collected and analysed.</w:t>
      </w:r>
      <w:r w:rsidR="00BA4DCE">
        <w:rPr>
          <w:rFonts w:cs="Arial"/>
          <w:szCs w:val="18"/>
        </w:rPr>
        <w:t xml:space="preserve"> </w:t>
      </w:r>
      <w:r w:rsidR="00D64097">
        <w:rPr>
          <w:rFonts w:cs="Arial"/>
          <w:szCs w:val="18"/>
        </w:rPr>
        <w:t>Figure 1 shows the engine on the test bench.</w:t>
      </w:r>
    </w:p>
    <w:p w14:paraId="529A636A" w14:textId="77777777" w:rsidR="003E7672" w:rsidRPr="00B57B36" w:rsidRDefault="003E7672" w:rsidP="003E7672">
      <w:pPr>
        <w:pStyle w:val="CETTabletitle"/>
      </w:pPr>
      <w:r>
        <w:t>Table 2</w:t>
      </w:r>
      <w:r w:rsidRPr="00B57B36">
        <w:t xml:space="preserve">: </w:t>
      </w:r>
      <w:r>
        <w:t>Experimental engine characteristics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44"/>
        <w:gridCol w:w="1985"/>
      </w:tblGrid>
      <w:tr w:rsidR="006B481B" w:rsidRPr="00B57B36" w14:paraId="59274684" w14:textId="77777777" w:rsidTr="000D6529">
        <w:tc>
          <w:tcPr>
            <w:tcW w:w="3544" w:type="dxa"/>
            <w:tcBorders>
              <w:top w:val="single" w:sz="12" w:space="0" w:color="008000"/>
              <w:bottom w:val="single" w:sz="6" w:space="0" w:color="008000"/>
            </w:tcBorders>
            <w:shd w:val="clear" w:color="auto" w:fill="FFFFFF"/>
          </w:tcPr>
          <w:p w14:paraId="07E4B7C6" w14:textId="77777777" w:rsidR="006B481B" w:rsidRPr="009B7C8B" w:rsidRDefault="006B481B" w:rsidP="000D6529">
            <w:pPr>
              <w:pStyle w:val="CETBodytext"/>
              <w:rPr>
                <w:i/>
                <w:lang w:val="en-GB"/>
              </w:rPr>
            </w:pPr>
            <w:r>
              <w:rPr>
                <w:i/>
                <w:lang w:val="en-GB"/>
              </w:rPr>
              <w:t>Data</w:t>
            </w:r>
          </w:p>
        </w:tc>
        <w:tc>
          <w:tcPr>
            <w:tcW w:w="1985" w:type="dxa"/>
            <w:tcBorders>
              <w:top w:val="single" w:sz="12" w:space="0" w:color="008000"/>
              <w:bottom w:val="single" w:sz="6" w:space="0" w:color="008000"/>
            </w:tcBorders>
            <w:shd w:val="clear" w:color="auto" w:fill="FFFFFF"/>
          </w:tcPr>
          <w:p w14:paraId="6C6AD2D6" w14:textId="77777777" w:rsidR="006B481B" w:rsidRPr="009B7C8B" w:rsidRDefault="006B481B" w:rsidP="000D6529">
            <w:pPr>
              <w:pStyle w:val="CETBodytext"/>
              <w:ind w:right="-1"/>
              <w:jc w:val="center"/>
              <w:rPr>
                <w:rFonts w:cs="Arial"/>
                <w:i/>
                <w:szCs w:val="18"/>
                <w:lang w:val="en-GB"/>
              </w:rPr>
            </w:pPr>
            <w:r w:rsidRPr="009B7C8B">
              <w:rPr>
                <w:rFonts w:cs="Arial"/>
                <w:i/>
                <w:szCs w:val="18"/>
                <w:lang w:val="en-GB"/>
              </w:rPr>
              <w:t>Gasoline</w:t>
            </w:r>
            <w:r>
              <w:rPr>
                <w:rFonts w:cs="Arial"/>
                <w:i/>
                <w:szCs w:val="18"/>
                <w:lang w:val="en-GB"/>
              </w:rPr>
              <w:t xml:space="preserve"> engine</w:t>
            </w:r>
          </w:p>
        </w:tc>
      </w:tr>
      <w:tr w:rsidR="006B481B" w:rsidRPr="00B57B36" w14:paraId="3341E73A" w14:textId="77777777" w:rsidTr="000D6529">
        <w:tc>
          <w:tcPr>
            <w:tcW w:w="3544" w:type="dxa"/>
            <w:shd w:val="clear" w:color="auto" w:fill="FFFFFF"/>
          </w:tcPr>
          <w:p w14:paraId="52C909A6" w14:textId="77777777" w:rsidR="006B481B" w:rsidRPr="00B57B36" w:rsidRDefault="006B481B" w:rsidP="000D6529">
            <w:pPr>
              <w:pStyle w:val="CETBodytext"/>
              <w:rPr>
                <w:lang w:val="en-GB"/>
              </w:rPr>
            </w:pPr>
            <w:r>
              <w:rPr>
                <w:lang w:val="en-GB"/>
              </w:rPr>
              <w:t>Engine maker</w:t>
            </w:r>
          </w:p>
        </w:tc>
        <w:tc>
          <w:tcPr>
            <w:tcW w:w="1985" w:type="dxa"/>
            <w:shd w:val="clear" w:color="auto" w:fill="FFFFFF"/>
          </w:tcPr>
          <w:p w14:paraId="0583FB07" w14:textId="77777777" w:rsidR="006B481B" w:rsidRPr="00B57B36" w:rsidRDefault="006B481B" w:rsidP="000D6529">
            <w:pPr>
              <w:pStyle w:val="CETBodytext"/>
              <w:ind w:right="-1"/>
              <w:jc w:val="center"/>
              <w:rPr>
                <w:rFonts w:cs="Arial"/>
                <w:szCs w:val="18"/>
                <w:lang w:val="en-GB"/>
              </w:rPr>
            </w:pPr>
            <w:r>
              <w:rPr>
                <w:rFonts w:cs="Arial"/>
                <w:szCs w:val="18"/>
                <w:lang w:val="en-GB"/>
              </w:rPr>
              <w:t>Volkswagen</w:t>
            </w:r>
          </w:p>
        </w:tc>
      </w:tr>
      <w:tr w:rsidR="006B481B" w:rsidRPr="00B57B36" w14:paraId="3F51399D" w14:textId="77777777" w:rsidTr="000D6529">
        <w:tc>
          <w:tcPr>
            <w:tcW w:w="3544" w:type="dxa"/>
            <w:shd w:val="clear" w:color="auto" w:fill="FFFFFF"/>
          </w:tcPr>
          <w:p w14:paraId="025071F1" w14:textId="77777777" w:rsidR="006B481B" w:rsidRPr="00D36355" w:rsidRDefault="006B481B" w:rsidP="000D6529">
            <w:pPr>
              <w:pStyle w:val="CETBodytext"/>
              <w:rPr>
                <w:lang w:val="en-GB"/>
              </w:rPr>
            </w:pPr>
            <w:r w:rsidRPr="00D36355">
              <w:rPr>
                <w:rFonts w:cs="Arial"/>
                <w:bCs/>
                <w:szCs w:val="18"/>
              </w:rPr>
              <w:t>Number of cylinders</w:t>
            </w:r>
          </w:p>
        </w:tc>
        <w:tc>
          <w:tcPr>
            <w:tcW w:w="1985" w:type="dxa"/>
            <w:shd w:val="clear" w:color="auto" w:fill="FFFFFF"/>
          </w:tcPr>
          <w:p w14:paraId="632FE42B" w14:textId="77777777" w:rsidR="006B481B" w:rsidRPr="00B57B36" w:rsidRDefault="006B481B" w:rsidP="000D6529">
            <w:pPr>
              <w:pStyle w:val="CETBodytext"/>
              <w:ind w:right="-1"/>
              <w:jc w:val="center"/>
              <w:rPr>
                <w:rFonts w:cs="Arial"/>
                <w:szCs w:val="18"/>
                <w:lang w:val="en-GB"/>
              </w:rPr>
            </w:pPr>
            <w:r>
              <w:rPr>
                <w:rFonts w:cs="Arial"/>
                <w:szCs w:val="18"/>
                <w:lang w:val="en-GB"/>
              </w:rPr>
              <w:t>3</w:t>
            </w:r>
          </w:p>
        </w:tc>
      </w:tr>
      <w:tr w:rsidR="006B481B" w:rsidRPr="00B57B36" w14:paraId="27135C1B" w14:textId="77777777" w:rsidTr="000D6529">
        <w:tc>
          <w:tcPr>
            <w:tcW w:w="3544" w:type="dxa"/>
            <w:shd w:val="clear" w:color="auto" w:fill="FFFFFF"/>
            <w:vAlign w:val="center"/>
          </w:tcPr>
          <w:p w14:paraId="2A1C0D69" w14:textId="77777777" w:rsidR="006B481B" w:rsidRPr="00D36355" w:rsidRDefault="006B481B" w:rsidP="000D6529">
            <w:pPr>
              <w:pStyle w:val="CETBodytext"/>
              <w:rPr>
                <w:lang w:val="en-GB"/>
              </w:rPr>
            </w:pPr>
            <w:r w:rsidRPr="00D36355">
              <w:rPr>
                <w:rFonts w:cs="Arial"/>
                <w:bCs/>
                <w:szCs w:val="18"/>
              </w:rPr>
              <w:t>Cooling system</w:t>
            </w:r>
          </w:p>
        </w:tc>
        <w:tc>
          <w:tcPr>
            <w:tcW w:w="1985" w:type="dxa"/>
            <w:shd w:val="clear" w:color="auto" w:fill="FFFFFF"/>
          </w:tcPr>
          <w:p w14:paraId="113B32AA" w14:textId="77777777" w:rsidR="006B481B" w:rsidRPr="00B57B36" w:rsidRDefault="006B481B" w:rsidP="000D6529">
            <w:pPr>
              <w:pStyle w:val="CETBodytext"/>
              <w:ind w:right="-1"/>
              <w:jc w:val="center"/>
              <w:rPr>
                <w:rFonts w:cs="Arial"/>
                <w:szCs w:val="18"/>
                <w:lang w:val="en-GB"/>
              </w:rPr>
            </w:pPr>
            <w:r>
              <w:rPr>
                <w:rFonts w:cs="Arial"/>
                <w:szCs w:val="18"/>
                <w:lang w:val="en-GB"/>
              </w:rPr>
              <w:t>Liquid</w:t>
            </w:r>
          </w:p>
        </w:tc>
      </w:tr>
      <w:tr w:rsidR="006B481B" w:rsidRPr="00B57B36" w14:paraId="42892CF4" w14:textId="77777777" w:rsidTr="000D6529">
        <w:tc>
          <w:tcPr>
            <w:tcW w:w="3544" w:type="dxa"/>
            <w:shd w:val="clear" w:color="auto" w:fill="FFFFFF"/>
            <w:vAlign w:val="center"/>
          </w:tcPr>
          <w:p w14:paraId="2CC14210" w14:textId="77777777" w:rsidR="006B481B" w:rsidRPr="00D36355" w:rsidRDefault="006B481B" w:rsidP="000D6529">
            <w:pPr>
              <w:pStyle w:val="CETBodytext"/>
              <w:rPr>
                <w:lang w:val="en-GB"/>
              </w:rPr>
            </w:pPr>
            <w:r w:rsidRPr="00D36355">
              <w:rPr>
                <w:rFonts w:cs="Arial"/>
                <w:bCs/>
                <w:szCs w:val="18"/>
              </w:rPr>
              <w:t>Displacement [cm</w:t>
            </w:r>
            <w:r w:rsidRPr="00D36355">
              <w:rPr>
                <w:rFonts w:cs="Arial"/>
                <w:bCs/>
                <w:szCs w:val="18"/>
                <w:vertAlign w:val="superscript"/>
              </w:rPr>
              <w:t>3</w:t>
            </w:r>
            <w:r w:rsidRPr="00D36355">
              <w:rPr>
                <w:rFonts w:cs="Arial"/>
                <w:bCs/>
                <w:szCs w:val="18"/>
              </w:rPr>
              <w:t>]</w:t>
            </w:r>
          </w:p>
        </w:tc>
        <w:tc>
          <w:tcPr>
            <w:tcW w:w="1985" w:type="dxa"/>
            <w:shd w:val="clear" w:color="auto" w:fill="FFFFFF"/>
          </w:tcPr>
          <w:p w14:paraId="0D1039E1" w14:textId="77777777" w:rsidR="006B481B" w:rsidRPr="00B57B36" w:rsidRDefault="006B481B" w:rsidP="000D6529">
            <w:pPr>
              <w:pStyle w:val="CETBodytext"/>
              <w:ind w:right="-1"/>
              <w:jc w:val="center"/>
              <w:rPr>
                <w:rFonts w:cs="Arial"/>
                <w:szCs w:val="18"/>
                <w:lang w:val="en-GB"/>
              </w:rPr>
            </w:pPr>
            <w:r>
              <w:rPr>
                <w:rFonts w:cs="Arial"/>
                <w:szCs w:val="18"/>
                <w:lang w:val="en-GB"/>
              </w:rPr>
              <w:t>999</w:t>
            </w:r>
          </w:p>
        </w:tc>
      </w:tr>
      <w:tr w:rsidR="006B481B" w:rsidRPr="00B57B36" w14:paraId="16081726" w14:textId="77777777" w:rsidTr="000D6529">
        <w:tc>
          <w:tcPr>
            <w:tcW w:w="3544" w:type="dxa"/>
            <w:shd w:val="clear" w:color="auto" w:fill="FFFFFF"/>
            <w:vAlign w:val="center"/>
          </w:tcPr>
          <w:p w14:paraId="238E59AB" w14:textId="77777777" w:rsidR="006B481B" w:rsidRPr="00D36355" w:rsidRDefault="006B481B" w:rsidP="000D6529">
            <w:pPr>
              <w:pStyle w:val="CETBodytext"/>
              <w:rPr>
                <w:lang w:val="en-GB"/>
              </w:rPr>
            </w:pPr>
            <w:r w:rsidRPr="00D36355">
              <w:rPr>
                <w:rFonts w:cs="Arial"/>
                <w:bCs/>
                <w:szCs w:val="18"/>
              </w:rPr>
              <w:t>Bore [mm]</w:t>
            </w:r>
          </w:p>
        </w:tc>
        <w:tc>
          <w:tcPr>
            <w:tcW w:w="1985" w:type="dxa"/>
            <w:shd w:val="clear" w:color="auto" w:fill="FFFFFF"/>
          </w:tcPr>
          <w:p w14:paraId="2712C479" w14:textId="77777777" w:rsidR="006B481B" w:rsidRPr="00B57B36" w:rsidRDefault="006B481B" w:rsidP="000D6529">
            <w:pPr>
              <w:pStyle w:val="CETBodytext"/>
              <w:ind w:right="-1"/>
              <w:jc w:val="center"/>
              <w:rPr>
                <w:rFonts w:cs="Arial"/>
                <w:szCs w:val="18"/>
                <w:lang w:val="en-GB"/>
              </w:rPr>
            </w:pPr>
            <w:r>
              <w:rPr>
                <w:rFonts w:cs="Arial"/>
                <w:szCs w:val="18"/>
                <w:lang w:val="en-GB"/>
              </w:rPr>
              <w:t>74.5</w:t>
            </w:r>
          </w:p>
        </w:tc>
      </w:tr>
      <w:tr w:rsidR="006B481B" w:rsidRPr="00B57B36" w14:paraId="61BE77DF" w14:textId="77777777" w:rsidTr="000D6529">
        <w:tc>
          <w:tcPr>
            <w:tcW w:w="3544" w:type="dxa"/>
            <w:shd w:val="clear" w:color="auto" w:fill="FFFFFF"/>
            <w:vAlign w:val="center"/>
          </w:tcPr>
          <w:p w14:paraId="4F6CC154" w14:textId="77777777" w:rsidR="006B481B" w:rsidRPr="00D36355" w:rsidRDefault="006B481B" w:rsidP="000D6529">
            <w:pPr>
              <w:pStyle w:val="CETBodytext"/>
              <w:rPr>
                <w:lang w:val="en-GB"/>
              </w:rPr>
            </w:pPr>
            <w:r w:rsidRPr="00D36355">
              <w:rPr>
                <w:rFonts w:cs="Arial"/>
                <w:bCs/>
                <w:szCs w:val="18"/>
              </w:rPr>
              <w:t>Stroke [mm]</w:t>
            </w:r>
          </w:p>
        </w:tc>
        <w:tc>
          <w:tcPr>
            <w:tcW w:w="1985" w:type="dxa"/>
            <w:shd w:val="clear" w:color="auto" w:fill="FFFFFF"/>
          </w:tcPr>
          <w:p w14:paraId="1A419A05" w14:textId="77777777" w:rsidR="006B481B" w:rsidRPr="00B57B36" w:rsidRDefault="006B481B" w:rsidP="000D6529">
            <w:pPr>
              <w:pStyle w:val="CETBodytext"/>
              <w:ind w:right="-1"/>
              <w:jc w:val="center"/>
              <w:rPr>
                <w:rFonts w:cs="Arial"/>
                <w:szCs w:val="18"/>
                <w:lang w:val="en-GB"/>
              </w:rPr>
            </w:pPr>
            <w:r>
              <w:rPr>
                <w:rFonts w:cs="Arial"/>
                <w:szCs w:val="18"/>
                <w:lang w:val="en-GB"/>
              </w:rPr>
              <w:t>76.4</w:t>
            </w:r>
          </w:p>
        </w:tc>
      </w:tr>
      <w:tr w:rsidR="006B481B" w:rsidRPr="00B57B36" w14:paraId="30C6805A" w14:textId="77777777" w:rsidTr="000D6529">
        <w:tc>
          <w:tcPr>
            <w:tcW w:w="3544" w:type="dxa"/>
            <w:shd w:val="clear" w:color="auto" w:fill="FFFFFF"/>
            <w:vAlign w:val="center"/>
          </w:tcPr>
          <w:p w14:paraId="63099FD8" w14:textId="77777777" w:rsidR="006B481B" w:rsidRPr="00D36355" w:rsidRDefault="006B481B" w:rsidP="000D6529">
            <w:pPr>
              <w:pStyle w:val="CETBodytext"/>
              <w:rPr>
                <w:rFonts w:cs="Arial"/>
                <w:szCs w:val="18"/>
                <w:lang w:val="en-GB"/>
              </w:rPr>
            </w:pPr>
            <w:r w:rsidRPr="00D36355">
              <w:rPr>
                <w:rFonts w:cs="Arial"/>
                <w:bCs/>
                <w:szCs w:val="18"/>
              </w:rPr>
              <w:t>Compression ratio</w:t>
            </w:r>
          </w:p>
        </w:tc>
        <w:tc>
          <w:tcPr>
            <w:tcW w:w="1985" w:type="dxa"/>
            <w:shd w:val="clear" w:color="auto" w:fill="FFFFFF"/>
          </w:tcPr>
          <w:p w14:paraId="034608A6" w14:textId="77777777" w:rsidR="006B481B" w:rsidRPr="00B57B36" w:rsidRDefault="006B481B" w:rsidP="000D6529">
            <w:pPr>
              <w:pStyle w:val="CETBodytext"/>
              <w:ind w:right="-1"/>
              <w:jc w:val="center"/>
              <w:rPr>
                <w:rFonts w:cs="Arial"/>
                <w:szCs w:val="18"/>
                <w:lang w:val="en-GB"/>
              </w:rPr>
            </w:pPr>
            <w:r>
              <w:rPr>
                <w:rFonts w:cs="Arial"/>
                <w:szCs w:val="18"/>
                <w:lang w:val="en-GB"/>
              </w:rPr>
              <w:t>10.5</w:t>
            </w:r>
          </w:p>
        </w:tc>
      </w:tr>
      <w:tr w:rsidR="006B481B" w:rsidRPr="00B57B36" w14:paraId="0D3B7B2D" w14:textId="77777777" w:rsidTr="000D6529">
        <w:tc>
          <w:tcPr>
            <w:tcW w:w="3544" w:type="dxa"/>
            <w:shd w:val="clear" w:color="auto" w:fill="FFFFFF"/>
            <w:vAlign w:val="center"/>
          </w:tcPr>
          <w:p w14:paraId="4A36D171" w14:textId="77777777" w:rsidR="006B481B" w:rsidRPr="00D36355" w:rsidRDefault="006B481B" w:rsidP="000D6529">
            <w:pPr>
              <w:pStyle w:val="CETBodytext"/>
              <w:rPr>
                <w:rFonts w:cs="Arial"/>
                <w:bCs/>
                <w:szCs w:val="18"/>
              </w:rPr>
            </w:pPr>
            <w:r w:rsidRPr="00D36355">
              <w:rPr>
                <w:rFonts w:cs="Arial"/>
                <w:bCs/>
                <w:szCs w:val="18"/>
              </w:rPr>
              <w:t>Max rotational speed [rpm]</w:t>
            </w:r>
          </w:p>
        </w:tc>
        <w:tc>
          <w:tcPr>
            <w:tcW w:w="1985" w:type="dxa"/>
            <w:shd w:val="clear" w:color="auto" w:fill="FFFFFF"/>
          </w:tcPr>
          <w:p w14:paraId="340DB73D" w14:textId="77777777" w:rsidR="006B481B" w:rsidRDefault="006B481B" w:rsidP="000D6529">
            <w:pPr>
              <w:pStyle w:val="CETBodytext"/>
              <w:ind w:right="-1"/>
              <w:jc w:val="center"/>
              <w:rPr>
                <w:rFonts w:cs="Arial"/>
                <w:szCs w:val="18"/>
                <w:lang w:val="en-GB"/>
              </w:rPr>
            </w:pPr>
            <w:r>
              <w:rPr>
                <w:rFonts w:cs="Arial"/>
                <w:szCs w:val="18"/>
                <w:lang w:val="en-GB"/>
              </w:rPr>
              <w:t>6500</w:t>
            </w:r>
          </w:p>
        </w:tc>
      </w:tr>
      <w:tr w:rsidR="006B481B" w:rsidRPr="00B57B36" w14:paraId="2983AE7B" w14:textId="77777777" w:rsidTr="000D6529">
        <w:tc>
          <w:tcPr>
            <w:tcW w:w="3544" w:type="dxa"/>
            <w:shd w:val="clear" w:color="auto" w:fill="FFFFFF"/>
            <w:vAlign w:val="center"/>
          </w:tcPr>
          <w:p w14:paraId="3DF122EC" w14:textId="77777777" w:rsidR="006B481B" w:rsidRPr="00D36355" w:rsidRDefault="006B481B" w:rsidP="000D6529">
            <w:pPr>
              <w:pStyle w:val="CETBodytext"/>
              <w:rPr>
                <w:rFonts w:cs="Arial"/>
                <w:bCs/>
                <w:szCs w:val="18"/>
              </w:rPr>
            </w:pPr>
            <w:r w:rsidRPr="00D36355">
              <w:rPr>
                <w:rFonts w:cs="Arial"/>
                <w:bCs/>
                <w:szCs w:val="18"/>
              </w:rPr>
              <w:t>Max Power [kW]</w:t>
            </w:r>
          </w:p>
        </w:tc>
        <w:tc>
          <w:tcPr>
            <w:tcW w:w="1985" w:type="dxa"/>
            <w:shd w:val="clear" w:color="auto" w:fill="FFFFFF"/>
          </w:tcPr>
          <w:p w14:paraId="66D58CB3" w14:textId="77777777" w:rsidR="006B481B" w:rsidRDefault="006B481B" w:rsidP="000D6529">
            <w:pPr>
              <w:pStyle w:val="CETBodytext"/>
              <w:ind w:right="-1"/>
              <w:jc w:val="center"/>
              <w:rPr>
                <w:rFonts w:cs="Arial"/>
                <w:szCs w:val="18"/>
                <w:lang w:val="en-GB"/>
              </w:rPr>
            </w:pPr>
            <w:r>
              <w:rPr>
                <w:rFonts w:cs="Arial"/>
                <w:szCs w:val="18"/>
                <w:lang w:val="en-GB"/>
              </w:rPr>
              <w:t>44</w:t>
            </w:r>
          </w:p>
        </w:tc>
      </w:tr>
      <w:tr w:rsidR="006B481B" w:rsidRPr="00B57B36" w14:paraId="174B9DBA" w14:textId="77777777" w:rsidTr="000D6529">
        <w:tc>
          <w:tcPr>
            <w:tcW w:w="3544" w:type="dxa"/>
            <w:shd w:val="clear" w:color="auto" w:fill="FFFFFF"/>
            <w:vAlign w:val="center"/>
          </w:tcPr>
          <w:p w14:paraId="3BC97D66" w14:textId="77777777" w:rsidR="006B481B" w:rsidRPr="00D36355" w:rsidRDefault="006B481B" w:rsidP="000D6529">
            <w:pPr>
              <w:pStyle w:val="CETBodytext"/>
              <w:rPr>
                <w:rFonts w:cs="Arial"/>
                <w:bCs/>
                <w:szCs w:val="18"/>
              </w:rPr>
            </w:pPr>
            <w:r w:rsidRPr="00D36355">
              <w:rPr>
                <w:rFonts w:cs="Arial"/>
                <w:bCs/>
                <w:szCs w:val="18"/>
              </w:rPr>
              <w:t>Max Torque [Nm]</w:t>
            </w:r>
          </w:p>
        </w:tc>
        <w:tc>
          <w:tcPr>
            <w:tcW w:w="1985" w:type="dxa"/>
            <w:shd w:val="clear" w:color="auto" w:fill="FFFFFF"/>
          </w:tcPr>
          <w:p w14:paraId="3BDC8E4B" w14:textId="77777777" w:rsidR="006B481B" w:rsidRDefault="006B481B" w:rsidP="000D6529">
            <w:pPr>
              <w:pStyle w:val="CETBodytext"/>
              <w:ind w:right="-1"/>
              <w:jc w:val="center"/>
              <w:rPr>
                <w:rFonts w:cs="Arial"/>
                <w:szCs w:val="18"/>
                <w:lang w:val="en-GB"/>
              </w:rPr>
            </w:pPr>
            <w:r>
              <w:rPr>
                <w:rFonts w:cs="Arial"/>
                <w:szCs w:val="18"/>
                <w:lang w:val="en-GB"/>
              </w:rPr>
              <w:t>95</w:t>
            </w:r>
          </w:p>
        </w:tc>
      </w:tr>
    </w:tbl>
    <w:p w14:paraId="6F758644" w14:textId="0CEB4BCF" w:rsidR="0012053B" w:rsidRPr="0012053B" w:rsidRDefault="0012053B" w:rsidP="00872E95">
      <w:pPr>
        <w:pStyle w:val="RSCR02References"/>
        <w:numPr>
          <w:ilvl w:val="0"/>
          <w:numId w:val="0"/>
        </w:numPr>
        <w:shd w:val="clear" w:color="auto" w:fill="FFFFFF"/>
        <w:spacing w:before="240" w:line="264" w:lineRule="auto"/>
        <w:rPr>
          <w:rFonts w:ascii="Arial" w:hAnsi="Arial" w:cs="Arial"/>
          <w:bCs/>
        </w:rPr>
      </w:pPr>
      <w:r w:rsidRPr="006A4E1B">
        <w:rPr>
          <w:rStyle w:val="highlight-module1p2so"/>
          <w:rFonts w:ascii="Arial" w:hAnsi="Arial" w:cs="Arial"/>
          <w:lang w:val="en-US"/>
        </w:rPr>
        <w:t xml:space="preserve">The mixture at 10 vol.% of EL was tested </w:t>
      </w:r>
      <w:r>
        <w:rPr>
          <w:rStyle w:val="highlight-module1p2so"/>
          <w:rFonts w:ascii="Arial" w:hAnsi="Arial" w:cs="Arial"/>
          <w:lang w:val="en-US"/>
        </w:rPr>
        <w:t>at full load and different rpm</w:t>
      </w:r>
      <w:r w:rsidRPr="006A4E1B">
        <w:rPr>
          <w:rStyle w:val="highlight-module1p2so"/>
          <w:rFonts w:ascii="Arial" w:hAnsi="Arial" w:cs="Arial"/>
          <w:lang w:val="en-US"/>
        </w:rPr>
        <w:t xml:space="preserve">. </w:t>
      </w:r>
      <w:r>
        <w:rPr>
          <w:rStyle w:val="highlight-module1p2so"/>
          <w:rFonts w:ascii="Arial" w:hAnsi="Arial" w:cs="Arial"/>
          <w:lang w:val="en-US"/>
        </w:rPr>
        <w:t>Despite the low LHV, t</w:t>
      </w:r>
      <w:r w:rsidRPr="006A4E1B">
        <w:rPr>
          <w:rStyle w:val="highlight-module1p2so"/>
          <w:rFonts w:ascii="Arial" w:hAnsi="Arial" w:cs="Arial"/>
          <w:lang w:val="en-US"/>
        </w:rPr>
        <w:t>he u</w:t>
      </w:r>
      <w:r>
        <w:rPr>
          <w:rStyle w:val="highlight-module1p2so"/>
          <w:rFonts w:ascii="Arial" w:hAnsi="Arial" w:cs="Arial"/>
          <w:lang w:val="en-US"/>
        </w:rPr>
        <w:t>tilization</w:t>
      </w:r>
      <w:r w:rsidRPr="006A4E1B">
        <w:rPr>
          <w:rStyle w:val="highlight-module1p2so"/>
          <w:rFonts w:ascii="Arial" w:hAnsi="Arial" w:cs="Arial"/>
          <w:lang w:val="en-US"/>
        </w:rPr>
        <w:t xml:space="preserve"> of EL in </w:t>
      </w:r>
      <w:r>
        <w:rPr>
          <w:rStyle w:val="highlight-module1p2so"/>
          <w:rFonts w:ascii="Arial" w:hAnsi="Arial" w:cs="Arial"/>
          <w:lang w:val="en-US"/>
        </w:rPr>
        <w:t>gasoline</w:t>
      </w:r>
      <w:r w:rsidR="00BA4DCE">
        <w:rPr>
          <w:rStyle w:val="highlight-module1p2so"/>
          <w:rFonts w:ascii="Arial" w:hAnsi="Arial" w:cs="Arial"/>
          <w:lang w:val="en-US"/>
        </w:rPr>
        <w:t xml:space="preserve"> </w:t>
      </w:r>
      <w:r>
        <w:rPr>
          <w:rStyle w:val="highlight-module1p2so"/>
          <w:rFonts w:ascii="Arial" w:hAnsi="Arial" w:cs="Arial"/>
          <w:lang w:val="en-US"/>
        </w:rPr>
        <w:t xml:space="preserve">has not presented particular problems, mainly thanks to the high </w:t>
      </w:r>
      <w:r w:rsidRPr="006A4E1B">
        <w:rPr>
          <w:rStyle w:val="highlight-module1p2so"/>
          <w:rFonts w:ascii="Arial" w:hAnsi="Arial" w:cs="Arial"/>
          <w:lang w:val="en-US"/>
        </w:rPr>
        <w:t>O</w:t>
      </w:r>
      <w:r>
        <w:rPr>
          <w:rStyle w:val="highlight-module1p2so"/>
          <w:rFonts w:ascii="Arial" w:hAnsi="Arial" w:cs="Arial"/>
          <w:lang w:val="en-US"/>
        </w:rPr>
        <w:t>N of</w:t>
      </w:r>
      <w:r w:rsidRPr="006A4E1B">
        <w:rPr>
          <w:rStyle w:val="highlight-module1p2so"/>
          <w:rFonts w:ascii="Arial" w:hAnsi="Arial" w:cs="Arial"/>
          <w:lang w:val="en-US"/>
        </w:rPr>
        <w:t xml:space="preserve"> EL</w:t>
      </w:r>
      <w:r>
        <w:rPr>
          <w:rStyle w:val="highlight-module1p2so"/>
          <w:rFonts w:ascii="Arial" w:hAnsi="Arial" w:cs="Arial"/>
          <w:lang w:val="en-US"/>
        </w:rPr>
        <w:t xml:space="preserve">. </w:t>
      </w:r>
      <w:r w:rsidRPr="006A4E1B">
        <w:rPr>
          <w:rFonts w:ascii="Arial" w:hAnsi="Arial" w:cs="Arial"/>
          <w:bCs/>
        </w:rPr>
        <w:t xml:space="preserve">The </w:t>
      </w:r>
      <w:r>
        <w:rPr>
          <w:rFonts w:ascii="Arial" w:hAnsi="Arial" w:cs="Arial"/>
          <w:bCs/>
        </w:rPr>
        <w:t xml:space="preserve">experimental </w:t>
      </w:r>
      <w:r w:rsidRPr="006A4E1B">
        <w:rPr>
          <w:rFonts w:ascii="Arial" w:hAnsi="Arial" w:cs="Arial"/>
          <w:bCs/>
        </w:rPr>
        <w:t>results are shown in</w:t>
      </w:r>
      <w:r>
        <w:rPr>
          <w:rFonts w:ascii="Arial" w:hAnsi="Arial" w:cs="Arial"/>
          <w:bCs/>
        </w:rPr>
        <w:t xml:space="preserve"> Figure 2</w:t>
      </w:r>
      <w:r w:rsidRPr="006A4E1B">
        <w:rPr>
          <w:rFonts w:ascii="Arial" w:hAnsi="Arial" w:cs="Arial"/>
          <w:bCs/>
        </w:rPr>
        <w:t xml:space="preserve"> regarding the torque and power values, while the HC</w:t>
      </w:r>
      <w:r>
        <w:rPr>
          <w:rFonts w:ascii="Arial" w:hAnsi="Arial" w:cs="Arial"/>
          <w:bCs/>
        </w:rPr>
        <w:t xml:space="preserve"> and CO emissions are shown in F</w:t>
      </w:r>
      <w:r w:rsidRPr="006A4E1B">
        <w:rPr>
          <w:rFonts w:ascii="Arial" w:hAnsi="Arial" w:cs="Arial"/>
          <w:bCs/>
        </w:rPr>
        <w:t xml:space="preserve">igure </w:t>
      </w:r>
      <w:r>
        <w:rPr>
          <w:rFonts w:ascii="Arial" w:hAnsi="Arial" w:cs="Arial"/>
          <w:bCs/>
        </w:rPr>
        <w:t>3</w:t>
      </w:r>
      <w:r w:rsidRPr="006A4E1B">
        <w:rPr>
          <w:rFonts w:ascii="Arial" w:hAnsi="Arial" w:cs="Arial"/>
          <w:bCs/>
        </w:rPr>
        <w:t>, always at full load and at different rpm.</w:t>
      </w:r>
      <w:r>
        <w:rPr>
          <w:rFonts w:ascii="Arial" w:hAnsi="Arial" w:cs="Arial"/>
          <w:bCs/>
        </w:rPr>
        <w:t xml:space="preserve"> </w:t>
      </w:r>
      <w:r w:rsidRPr="004D122E">
        <w:rPr>
          <w:rFonts w:ascii="Arial" w:hAnsi="Arial" w:cs="Arial"/>
          <w:bCs/>
        </w:rPr>
        <w:t>NOx emissions remain</w:t>
      </w:r>
      <w:r w:rsidRPr="004D1884">
        <w:rPr>
          <w:rFonts w:ascii="Arial" w:hAnsi="Arial" w:cs="Arial"/>
          <w:bCs/>
        </w:rPr>
        <w:t>ed more or less on the same order as those obtained by fuelling the engine with only commercial gasoline.</w:t>
      </w:r>
      <w:r>
        <w:rPr>
          <w:rFonts w:ascii="Arial" w:hAnsi="Arial" w:cs="Arial"/>
          <w:bCs/>
        </w:rPr>
        <w:t xml:space="preserve"> </w:t>
      </w:r>
      <w:r>
        <w:rPr>
          <w:rFonts w:ascii="Arial" w:hAnsi="Arial" w:cs="Arial"/>
        </w:rPr>
        <w:t>O</w:t>
      </w:r>
      <w:r w:rsidRPr="004D1884">
        <w:rPr>
          <w:rFonts w:ascii="Arial" w:hAnsi="Arial" w:cs="Arial"/>
        </w:rPr>
        <w:t xml:space="preserve">wing to EL low LHV with respect to </w:t>
      </w:r>
      <w:r>
        <w:rPr>
          <w:rFonts w:ascii="Arial" w:hAnsi="Arial" w:cs="Arial"/>
        </w:rPr>
        <w:t>gasoline</w:t>
      </w:r>
      <w:r w:rsidRPr="004D1884">
        <w:rPr>
          <w:rFonts w:ascii="Arial" w:hAnsi="Arial" w:cs="Arial"/>
        </w:rPr>
        <w:t xml:space="preserve"> fuel</w:t>
      </w:r>
      <w:r>
        <w:rPr>
          <w:rFonts w:ascii="Arial" w:hAnsi="Arial" w:cs="Arial"/>
        </w:rPr>
        <w:t xml:space="preserve">, </w:t>
      </w:r>
      <w:r w:rsidR="00843F56" w:rsidRPr="00843F56">
        <w:rPr>
          <w:rFonts w:ascii="Arial" w:hAnsi="Arial" w:cs="Arial"/>
        </w:rPr>
        <w:t>a slight decrease in engine power is noted</w:t>
      </w:r>
      <w:r w:rsidR="00843F56">
        <w:rPr>
          <w:rFonts w:ascii="Arial" w:hAnsi="Arial" w:cs="Arial"/>
        </w:rPr>
        <w:t xml:space="preserve"> while </w:t>
      </w:r>
      <w:r>
        <w:rPr>
          <w:rFonts w:ascii="Arial" w:hAnsi="Arial" w:cs="Arial"/>
        </w:rPr>
        <w:t>the specific fuel consumption [g/kWh] has moderately increased.</w:t>
      </w:r>
    </w:p>
    <w:p w14:paraId="4AEEB12D" w14:textId="5393FD9E" w:rsidR="00EC728F" w:rsidRPr="00B57B36" w:rsidRDefault="00EC728F" w:rsidP="00EC728F">
      <w:pPr>
        <w:pStyle w:val="CETTabletitle"/>
      </w:pPr>
      <w:r>
        <w:lastRenderedPageBreak/>
        <w:t xml:space="preserve">Table </w:t>
      </w:r>
      <w:r w:rsidR="003E7672">
        <w:t>3</w:t>
      </w:r>
      <w:r w:rsidRPr="00B57B36">
        <w:t xml:space="preserve">: </w:t>
      </w:r>
      <w:r>
        <w:t>Fuels properties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402"/>
        <w:gridCol w:w="1134"/>
        <w:gridCol w:w="1134"/>
      </w:tblGrid>
      <w:tr w:rsidR="003E7672" w:rsidRPr="00B57B36" w14:paraId="4297C6B4" w14:textId="77777777" w:rsidTr="009B7C8B">
        <w:tc>
          <w:tcPr>
            <w:tcW w:w="3402" w:type="dxa"/>
            <w:tcBorders>
              <w:top w:val="single" w:sz="12" w:space="0" w:color="008000"/>
              <w:bottom w:val="single" w:sz="6" w:space="0" w:color="008000"/>
            </w:tcBorders>
            <w:shd w:val="clear" w:color="auto" w:fill="FFFFFF"/>
          </w:tcPr>
          <w:p w14:paraId="420FE590" w14:textId="77777777" w:rsidR="003E7672" w:rsidRPr="009B7C8B" w:rsidRDefault="003E7672" w:rsidP="00454175">
            <w:pPr>
              <w:pStyle w:val="CETBodytext"/>
              <w:rPr>
                <w:i/>
                <w:lang w:val="en-GB"/>
              </w:rPr>
            </w:pPr>
            <w:r w:rsidRPr="009B7C8B">
              <w:rPr>
                <w:i/>
                <w:lang w:val="en-GB"/>
              </w:rPr>
              <w:t xml:space="preserve">Property </w:t>
            </w:r>
          </w:p>
        </w:tc>
        <w:tc>
          <w:tcPr>
            <w:tcW w:w="1134" w:type="dxa"/>
            <w:tcBorders>
              <w:top w:val="single" w:sz="12" w:space="0" w:color="008000"/>
              <w:bottom w:val="single" w:sz="6" w:space="0" w:color="008000"/>
            </w:tcBorders>
            <w:shd w:val="clear" w:color="auto" w:fill="FFFFFF"/>
          </w:tcPr>
          <w:p w14:paraId="76E69376" w14:textId="77777777" w:rsidR="003E7672" w:rsidRPr="009B7C8B" w:rsidRDefault="003E7672" w:rsidP="00B278BF">
            <w:pPr>
              <w:pStyle w:val="CETBodytext"/>
              <w:jc w:val="center"/>
              <w:rPr>
                <w:i/>
                <w:lang w:val="en-GB"/>
              </w:rPr>
            </w:pPr>
            <w:r w:rsidRPr="009B7C8B">
              <w:rPr>
                <w:i/>
                <w:lang w:val="en-GB"/>
              </w:rPr>
              <w:t>EL</w:t>
            </w:r>
          </w:p>
        </w:tc>
        <w:tc>
          <w:tcPr>
            <w:tcW w:w="1134" w:type="dxa"/>
            <w:tcBorders>
              <w:top w:val="single" w:sz="12" w:space="0" w:color="008000"/>
              <w:bottom w:val="single" w:sz="6" w:space="0" w:color="008000"/>
            </w:tcBorders>
            <w:shd w:val="clear" w:color="auto" w:fill="FFFFFF"/>
          </w:tcPr>
          <w:p w14:paraId="06B40105" w14:textId="77777777" w:rsidR="003E7672" w:rsidRPr="009B7C8B" w:rsidRDefault="003E7672" w:rsidP="00B278BF">
            <w:pPr>
              <w:pStyle w:val="CETBodytext"/>
              <w:ind w:right="-1"/>
              <w:jc w:val="center"/>
              <w:rPr>
                <w:rFonts w:cs="Arial"/>
                <w:i/>
                <w:szCs w:val="18"/>
                <w:lang w:val="en-GB"/>
              </w:rPr>
            </w:pPr>
            <w:r w:rsidRPr="009B7C8B">
              <w:rPr>
                <w:rFonts w:cs="Arial"/>
                <w:i/>
                <w:szCs w:val="18"/>
                <w:lang w:val="en-GB"/>
              </w:rPr>
              <w:t>gasoline</w:t>
            </w:r>
          </w:p>
        </w:tc>
      </w:tr>
      <w:tr w:rsidR="003E7672" w:rsidRPr="00B57B36" w14:paraId="7987D9B2" w14:textId="77777777" w:rsidTr="009B7C8B">
        <w:tc>
          <w:tcPr>
            <w:tcW w:w="3402" w:type="dxa"/>
            <w:shd w:val="clear" w:color="auto" w:fill="FFFFFF"/>
          </w:tcPr>
          <w:p w14:paraId="53AEAF79" w14:textId="77777777" w:rsidR="003E7672" w:rsidRPr="00B57B36" w:rsidRDefault="003E7672" w:rsidP="00454175">
            <w:pPr>
              <w:pStyle w:val="CETBodytext"/>
              <w:rPr>
                <w:lang w:val="en-GB"/>
              </w:rPr>
            </w:pPr>
            <w:r>
              <w:rPr>
                <w:lang w:val="en-GB"/>
              </w:rPr>
              <w:t>Boling Point (°C)</w:t>
            </w:r>
          </w:p>
        </w:tc>
        <w:tc>
          <w:tcPr>
            <w:tcW w:w="1134" w:type="dxa"/>
            <w:shd w:val="clear" w:color="auto" w:fill="FFFFFF"/>
          </w:tcPr>
          <w:p w14:paraId="6F8E84C1" w14:textId="77777777" w:rsidR="003E7672" w:rsidRPr="00B57B36" w:rsidRDefault="003E7672" w:rsidP="009B7C8B">
            <w:pPr>
              <w:pStyle w:val="CETBodytext"/>
              <w:jc w:val="center"/>
              <w:rPr>
                <w:lang w:val="en-GB"/>
              </w:rPr>
            </w:pPr>
            <w:r>
              <w:rPr>
                <w:lang w:val="en-GB"/>
              </w:rPr>
              <w:t>206</w:t>
            </w:r>
          </w:p>
        </w:tc>
        <w:tc>
          <w:tcPr>
            <w:tcW w:w="1134" w:type="dxa"/>
            <w:shd w:val="clear" w:color="auto" w:fill="FFFFFF"/>
          </w:tcPr>
          <w:p w14:paraId="4987CB1C" w14:textId="77777777" w:rsidR="003E7672" w:rsidRPr="00B57B36" w:rsidRDefault="003E7672" w:rsidP="009B7C8B">
            <w:pPr>
              <w:pStyle w:val="CETBodytext"/>
              <w:ind w:right="-1"/>
              <w:jc w:val="center"/>
              <w:rPr>
                <w:rFonts w:cs="Arial"/>
                <w:szCs w:val="18"/>
                <w:lang w:val="en-GB"/>
              </w:rPr>
            </w:pPr>
            <w:r>
              <w:rPr>
                <w:rFonts w:cs="Arial"/>
                <w:szCs w:val="18"/>
                <w:lang w:val="en-GB"/>
              </w:rPr>
              <w:t>80-100</w:t>
            </w:r>
          </w:p>
        </w:tc>
      </w:tr>
      <w:tr w:rsidR="003E7672" w:rsidRPr="00B57B36" w14:paraId="1473D933" w14:textId="77777777" w:rsidTr="009B7C8B">
        <w:tc>
          <w:tcPr>
            <w:tcW w:w="3402" w:type="dxa"/>
            <w:shd w:val="clear" w:color="auto" w:fill="FFFFFF"/>
          </w:tcPr>
          <w:p w14:paraId="6BB76A69" w14:textId="77777777" w:rsidR="003E7672" w:rsidRDefault="003E7672" w:rsidP="009B7C8B">
            <w:pPr>
              <w:pStyle w:val="CETBodytext"/>
              <w:rPr>
                <w:lang w:val="en-GB"/>
              </w:rPr>
            </w:pPr>
            <w:r>
              <w:rPr>
                <w:lang w:val="en-GB"/>
              </w:rPr>
              <w:t>O</w:t>
            </w:r>
            <w:r w:rsidRPr="00B278BF">
              <w:rPr>
                <w:vertAlign w:val="subscript"/>
                <w:lang w:val="en-GB"/>
              </w:rPr>
              <w:t>2</w:t>
            </w:r>
            <w:r>
              <w:rPr>
                <w:lang w:val="en-GB"/>
              </w:rPr>
              <w:t xml:space="preserve">wt% </w:t>
            </w:r>
          </w:p>
        </w:tc>
        <w:tc>
          <w:tcPr>
            <w:tcW w:w="1134" w:type="dxa"/>
            <w:shd w:val="clear" w:color="auto" w:fill="FFFFFF"/>
          </w:tcPr>
          <w:p w14:paraId="767A3BF2" w14:textId="77777777" w:rsidR="003E7672" w:rsidRPr="00B57B36" w:rsidRDefault="003E7672" w:rsidP="009B7C8B">
            <w:pPr>
              <w:pStyle w:val="CETBodytext"/>
              <w:jc w:val="center"/>
              <w:rPr>
                <w:lang w:val="en-GB"/>
              </w:rPr>
            </w:pPr>
            <w:r>
              <w:rPr>
                <w:lang w:val="en-GB"/>
              </w:rPr>
              <w:t>33</w:t>
            </w:r>
          </w:p>
        </w:tc>
        <w:tc>
          <w:tcPr>
            <w:tcW w:w="1134" w:type="dxa"/>
            <w:shd w:val="clear" w:color="auto" w:fill="FFFFFF"/>
          </w:tcPr>
          <w:p w14:paraId="4A5AB238" w14:textId="77777777" w:rsidR="003E7672" w:rsidRPr="00B57B36" w:rsidRDefault="003E7672" w:rsidP="009B7C8B">
            <w:pPr>
              <w:pStyle w:val="CETBodytext"/>
              <w:ind w:right="-1"/>
              <w:jc w:val="center"/>
              <w:rPr>
                <w:rFonts w:cs="Arial"/>
                <w:szCs w:val="18"/>
                <w:lang w:val="en-GB"/>
              </w:rPr>
            </w:pPr>
            <w:r>
              <w:rPr>
                <w:rFonts w:cs="Arial"/>
                <w:szCs w:val="18"/>
                <w:lang w:val="en-GB"/>
              </w:rPr>
              <w:t>NA</w:t>
            </w:r>
          </w:p>
        </w:tc>
      </w:tr>
      <w:tr w:rsidR="003E7672" w:rsidRPr="00B57B36" w14:paraId="4D178445" w14:textId="77777777" w:rsidTr="009B7C8B">
        <w:tc>
          <w:tcPr>
            <w:tcW w:w="3402" w:type="dxa"/>
            <w:shd w:val="clear" w:color="auto" w:fill="FFFFFF"/>
          </w:tcPr>
          <w:p w14:paraId="3B603E9D" w14:textId="77777777" w:rsidR="003E7672" w:rsidRDefault="003E7672" w:rsidP="009B7C8B">
            <w:pPr>
              <w:pStyle w:val="CETBodytext"/>
              <w:rPr>
                <w:lang w:val="en-GB"/>
              </w:rPr>
            </w:pPr>
            <w:r>
              <w:rPr>
                <w:lang w:val="en-GB"/>
              </w:rPr>
              <w:t>Density (g/L at 20 °C)</w:t>
            </w:r>
          </w:p>
        </w:tc>
        <w:tc>
          <w:tcPr>
            <w:tcW w:w="1134" w:type="dxa"/>
            <w:shd w:val="clear" w:color="auto" w:fill="FFFFFF"/>
          </w:tcPr>
          <w:p w14:paraId="764ED2A4" w14:textId="77777777" w:rsidR="003E7672" w:rsidRPr="00B57B36" w:rsidRDefault="003E7672" w:rsidP="009B7C8B">
            <w:pPr>
              <w:pStyle w:val="CETBodytext"/>
              <w:jc w:val="center"/>
              <w:rPr>
                <w:lang w:val="en-GB"/>
              </w:rPr>
            </w:pPr>
            <w:r>
              <w:rPr>
                <w:lang w:val="en-GB"/>
              </w:rPr>
              <w:t>1010</w:t>
            </w:r>
          </w:p>
        </w:tc>
        <w:tc>
          <w:tcPr>
            <w:tcW w:w="1134" w:type="dxa"/>
            <w:shd w:val="clear" w:color="auto" w:fill="FFFFFF"/>
          </w:tcPr>
          <w:p w14:paraId="48F3D3F7" w14:textId="77777777" w:rsidR="003E7672" w:rsidRPr="00B57B36" w:rsidRDefault="003E7672" w:rsidP="009B7C8B">
            <w:pPr>
              <w:pStyle w:val="CETBodytext"/>
              <w:ind w:right="-1"/>
              <w:jc w:val="center"/>
              <w:rPr>
                <w:rFonts w:cs="Arial"/>
                <w:szCs w:val="18"/>
                <w:lang w:val="en-GB"/>
              </w:rPr>
            </w:pPr>
            <w:r>
              <w:rPr>
                <w:rFonts w:cs="Arial"/>
                <w:szCs w:val="18"/>
                <w:lang w:val="en-GB"/>
              </w:rPr>
              <w:t>750</w:t>
            </w:r>
          </w:p>
        </w:tc>
      </w:tr>
      <w:tr w:rsidR="003E7672" w:rsidRPr="00B57B36" w14:paraId="779AEA6A" w14:textId="77777777" w:rsidTr="009B7C8B">
        <w:tc>
          <w:tcPr>
            <w:tcW w:w="3402" w:type="dxa"/>
            <w:shd w:val="clear" w:color="auto" w:fill="FFFFFF"/>
          </w:tcPr>
          <w:p w14:paraId="1A3A273B" w14:textId="77777777" w:rsidR="003E7672" w:rsidRDefault="003E7672" w:rsidP="009B7C8B">
            <w:pPr>
              <w:pStyle w:val="CETBodytext"/>
              <w:rPr>
                <w:lang w:val="en-GB"/>
              </w:rPr>
            </w:pPr>
            <w:r>
              <w:rPr>
                <w:rFonts w:cs="Arial"/>
                <w:szCs w:val="18"/>
                <w:lang w:val="en-GB"/>
              </w:rPr>
              <w:t>Cetane Number (CN)</w:t>
            </w:r>
          </w:p>
        </w:tc>
        <w:tc>
          <w:tcPr>
            <w:tcW w:w="1134" w:type="dxa"/>
            <w:shd w:val="clear" w:color="auto" w:fill="FFFFFF"/>
          </w:tcPr>
          <w:p w14:paraId="43FFC5F2" w14:textId="77777777" w:rsidR="003E7672" w:rsidRPr="00B57B36" w:rsidRDefault="003E7672" w:rsidP="009B7C8B">
            <w:pPr>
              <w:pStyle w:val="CETBodytext"/>
              <w:jc w:val="center"/>
              <w:rPr>
                <w:lang w:val="en-GB"/>
              </w:rPr>
            </w:pPr>
            <w:r>
              <w:rPr>
                <w:lang w:val="en-GB"/>
              </w:rPr>
              <w:t>&lt; 20</w:t>
            </w:r>
          </w:p>
        </w:tc>
        <w:tc>
          <w:tcPr>
            <w:tcW w:w="1134" w:type="dxa"/>
            <w:shd w:val="clear" w:color="auto" w:fill="FFFFFF"/>
          </w:tcPr>
          <w:p w14:paraId="4659A1A4" w14:textId="77777777" w:rsidR="003E7672" w:rsidRPr="00B57B36" w:rsidRDefault="003E7672" w:rsidP="009B7C8B">
            <w:pPr>
              <w:pStyle w:val="CETBodytext"/>
              <w:ind w:right="-1"/>
              <w:jc w:val="center"/>
              <w:rPr>
                <w:rFonts w:cs="Arial"/>
                <w:szCs w:val="18"/>
                <w:lang w:val="en-GB"/>
              </w:rPr>
            </w:pPr>
            <w:r>
              <w:rPr>
                <w:rFonts w:cs="Arial"/>
                <w:szCs w:val="18"/>
                <w:lang w:val="en-GB"/>
              </w:rPr>
              <w:t>NA</w:t>
            </w:r>
          </w:p>
        </w:tc>
      </w:tr>
      <w:tr w:rsidR="003E7672" w:rsidRPr="00B57B36" w14:paraId="018B90D7" w14:textId="77777777" w:rsidTr="009B7C8B">
        <w:tc>
          <w:tcPr>
            <w:tcW w:w="3402" w:type="dxa"/>
            <w:shd w:val="clear" w:color="auto" w:fill="FFFFFF"/>
          </w:tcPr>
          <w:p w14:paraId="0D1FDC8C" w14:textId="77777777" w:rsidR="003E7672" w:rsidRDefault="003E7672" w:rsidP="00454175">
            <w:pPr>
              <w:pStyle w:val="CETBodytext"/>
              <w:rPr>
                <w:lang w:val="en-GB"/>
              </w:rPr>
            </w:pPr>
            <w:r>
              <w:rPr>
                <w:rFonts w:cs="Arial"/>
                <w:szCs w:val="18"/>
                <w:lang w:val="en-GB"/>
              </w:rPr>
              <w:t>Octane Number (ON)</w:t>
            </w:r>
          </w:p>
        </w:tc>
        <w:tc>
          <w:tcPr>
            <w:tcW w:w="1134" w:type="dxa"/>
            <w:shd w:val="clear" w:color="auto" w:fill="FFFFFF"/>
          </w:tcPr>
          <w:p w14:paraId="1A5C9A0A" w14:textId="77777777" w:rsidR="003E7672" w:rsidRPr="00B57B36" w:rsidRDefault="003E7672" w:rsidP="009B7C8B">
            <w:pPr>
              <w:pStyle w:val="CETBodytext"/>
              <w:jc w:val="center"/>
              <w:rPr>
                <w:lang w:val="en-GB"/>
              </w:rPr>
            </w:pPr>
            <w:r>
              <w:rPr>
                <w:lang w:val="en-GB"/>
              </w:rPr>
              <w:t>&gt;97</w:t>
            </w:r>
          </w:p>
        </w:tc>
        <w:tc>
          <w:tcPr>
            <w:tcW w:w="1134" w:type="dxa"/>
            <w:shd w:val="clear" w:color="auto" w:fill="FFFFFF"/>
          </w:tcPr>
          <w:p w14:paraId="6D8E276E" w14:textId="77777777" w:rsidR="003E7672" w:rsidRPr="00B57B36" w:rsidRDefault="003E7672" w:rsidP="009B7C8B">
            <w:pPr>
              <w:pStyle w:val="CETBodytext"/>
              <w:ind w:right="-1"/>
              <w:jc w:val="center"/>
              <w:rPr>
                <w:rFonts w:cs="Arial"/>
                <w:szCs w:val="18"/>
                <w:lang w:val="en-GB"/>
              </w:rPr>
            </w:pPr>
            <w:r>
              <w:rPr>
                <w:rFonts w:cs="Arial"/>
                <w:szCs w:val="18"/>
                <w:lang w:val="en-GB"/>
              </w:rPr>
              <w:t>95</w:t>
            </w:r>
          </w:p>
        </w:tc>
      </w:tr>
      <w:tr w:rsidR="003E7672" w:rsidRPr="00B57B36" w14:paraId="4BA31671" w14:textId="77777777" w:rsidTr="009B7C8B">
        <w:tc>
          <w:tcPr>
            <w:tcW w:w="3402" w:type="dxa"/>
            <w:shd w:val="clear" w:color="auto" w:fill="FFFFFF"/>
          </w:tcPr>
          <w:p w14:paraId="62402E8B" w14:textId="77777777" w:rsidR="003E7672" w:rsidRDefault="003E7672" w:rsidP="00454175">
            <w:pPr>
              <w:pStyle w:val="CETBodytext"/>
              <w:rPr>
                <w:lang w:val="en-GB"/>
              </w:rPr>
            </w:pPr>
            <w:r>
              <w:rPr>
                <w:rFonts w:cs="Arial"/>
                <w:szCs w:val="18"/>
                <w:lang w:val="en-GB"/>
              </w:rPr>
              <w:t>Lower Heating Value (MJ/kg)</w:t>
            </w:r>
          </w:p>
        </w:tc>
        <w:tc>
          <w:tcPr>
            <w:tcW w:w="1134" w:type="dxa"/>
            <w:shd w:val="clear" w:color="auto" w:fill="FFFFFF"/>
          </w:tcPr>
          <w:p w14:paraId="53466B4E" w14:textId="77777777" w:rsidR="003E7672" w:rsidRPr="00B57B36" w:rsidRDefault="003E7672" w:rsidP="009B7C8B">
            <w:pPr>
              <w:pStyle w:val="CETBodytext"/>
              <w:jc w:val="center"/>
              <w:rPr>
                <w:lang w:val="en-GB"/>
              </w:rPr>
            </w:pPr>
            <w:r>
              <w:rPr>
                <w:lang w:val="en-GB"/>
              </w:rPr>
              <w:t>25</w:t>
            </w:r>
          </w:p>
        </w:tc>
        <w:tc>
          <w:tcPr>
            <w:tcW w:w="1134" w:type="dxa"/>
            <w:shd w:val="clear" w:color="auto" w:fill="FFFFFF"/>
          </w:tcPr>
          <w:p w14:paraId="4F8F685A" w14:textId="77777777" w:rsidR="003E7672" w:rsidRPr="00B57B36" w:rsidRDefault="003E7672" w:rsidP="009B7C8B">
            <w:pPr>
              <w:pStyle w:val="CETBodytext"/>
              <w:ind w:right="-1"/>
              <w:jc w:val="center"/>
              <w:rPr>
                <w:rFonts w:cs="Arial"/>
                <w:szCs w:val="18"/>
                <w:lang w:val="en-GB"/>
              </w:rPr>
            </w:pPr>
            <w:r>
              <w:rPr>
                <w:rFonts w:cs="Arial"/>
                <w:szCs w:val="18"/>
                <w:lang w:val="en-GB"/>
              </w:rPr>
              <w:t>45</w:t>
            </w:r>
          </w:p>
        </w:tc>
      </w:tr>
      <w:tr w:rsidR="003E7672" w:rsidRPr="00B57B36" w14:paraId="238E7FB2" w14:textId="77777777" w:rsidTr="009B7C8B">
        <w:tc>
          <w:tcPr>
            <w:tcW w:w="3402" w:type="dxa"/>
            <w:shd w:val="clear" w:color="auto" w:fill="FFFFFF"/>
          </w:tcPr>
          <w:p w14:paraId="4AA0CD69" w14:textId="77777777" w:rsidR="003E7672" w:rsidRDefault="003E7672" w:rsidP="00454175">
            <w:pPr>
              <w:pStyle w:val="CETBodytext"/>
              <w:rPr>
                <w:rFonts w:cs="Arial"/>
                <w:szCs w:val="18"/>
                <w:lang w:val="en-GB"/>
              </w:rPr>
            </w:pPr>
            <w:r>
              <w:rPr>
                <w:rFonts w:cs="Arial"/>
                <w:szCs w:val="18"/>
                <w:lang w:val="en-GB"/>
              </w:rPr>
              <w:t>Kinematic viscosity (mm2/s at 20 °C)</w:t>
            </w:r>
          </w:p>
        </w:tc>
        <w:tc>
          <w:tcPr>
            <w:tcW w:w="1134" w:type="dxa"/>
            <w:shd w:val="clear" w:color="auto" w:fill="FFFFFF"/>
          </w:tcPr>
          <w:p w14:paraId="15F4FF40" w14:textId="77777777" w:rsidR="003E7672" w:rsidRPr="00B57B36" w:rsidRDefault="003E7672" w:rsidP="009B7C8B">
            <w:pPr>
              <w:pStyle w:val="CETBodytext"/>
              <w:jc w:val="center"/>
              <w:rPr>
                <w:lang w:val="en-GB"/>
              </w:rPr>
            </w:pPr>
            <w:r>
              <w:rPr>
                <w:lang w:val="en-GB"/>
              </w:rPr>
              <w:t>2.14</w:t>
            </w:r>
          </w:p>
        </w:tc>
        <w:tc>
          <w:tcPr>
            <w:tcW w:w="1134" w:type="dxa"/>
            <w:shd w:val="clear" w:color="auto" w:fill="FFFFFF"/>
          </w:tcPr>
          <w:p w14:paraId="72F10660" w14:textId="77777777" w:rsidR="003E7672" w:rsidRPr="00B57B36" w:rsidRDefault="003E7672" w:rsidP="009B7C8B">
            <w:pPr>
              <w:pStyle w:val="CETBodytext"/>
              <w:ind w:right="-1"/>
              <w:jc w:val="center"/>
              <w:rPr>
                <w:rFonts w:cs="Arial"/>
                <w:szCs w:val="18"/>
                <w:lang w:val="en-GB"/>
              </w:rPr>
            </w:pPr>
            <w:r>
              <w:rPr>
                <w:rFonts w:cs="Arial"/>
                <w:szCs w:val="18"/>
                <w:lang w:val="en-GB"/>
              </w:rPr>
              <w:t>0.9</w:t>
            </w:r>
          </w:p>
        </w:tc>
      </w:tr>
    </w:tbl>
    <w:p w14:paraId="7A7B41B2" w14:textId="77777777" w:rsidR="008A69F9" w:rsidRDefault="008A69F9" w:rsidP="006A4E1B">
      <w:pPr>
        <w:pStyle w:val="RSCR02References"/>
        <w:numPr>
          <w:ilvl w:val="0"/>
          <w:numId w:val="0"/>
        </w:numPr>
        <w:shd w:val="clear" w:color="auto" w:fill="FFFFFF"/>
        <w:spacing w:line="276" w:lineRule="auto"/>
        <w:rPr>
          <w:rStyle w:val="highlight-module1p2so"/>
          <w:rFonts w:ascii="Arial" w:hAnsi="Arial" w:cs="Arial"/>
          <w:lang w:val="en-US"/>
        </w:rPr>
      </w:pPr>
    </w:p>
    <w:p w14:paraId="33FF22D1" w14:textId="20F0689F" w:rsidR="004D1884" w:rsidRDefault="00703F97" w:rsidP="008F7696">
      <w:pPr>
        <w:spacing w:after="240" w:line="276" w:lineRule="auto"/>
        <w:rPr>
          <w:rFonts w:cs="Arial"/>
          <w:szCs w:val="18"/>
        </w:rPr>
      </w:pPr>
      <w:r w:rsidRPr="006A4E1B">
        <w:rPr>
          <w:rStyle w:val="highlight-module1p2so"/>
          <w:rFonts w:cs="Arial"/>
          <w:szCs w:val="18"/>
        </w:rPr>
        <w:t>The use of EL 10% has beneficial effects on polluting</w:t>
      </w:r>
      <w:r>
        <w:rPr>
          <w:rStyle w:val="highlight-module1p2so"/>
          <w:rFonts w:cs="Arial"/>
          <w:szCs w:val="18"/>
        </w:rPr>
        <w:t xml:space="preserve"> emissions, as shown in Figure 3</w:t>
      </w:r>
      <w:r w:rsidRPr="006A4E1B">
        <w:rPr>
          <w:rStyle w:val="highlight-module1p2so"/>
          <w:rFonts w:cs="Arial"/>
          <w:szCs w:val="18"/>
        </w:rPr>
        <w:t>,</w:t>
      </w:r>
      <w:r w:rsidR="000D73E9">
        <w:rPr>
          <w:rStyle w:val="highlight-module1p2so"/>
          <w:rFonts w:cs="Arial"/>
          <w:szCs w:val="18"/>
        </w:rPr>
        <w:t xml:space="preserve"> allowing a decrease in HC emissions which, between 200 and 3000 rpm, reaches 40%, while CO emissions are reduced by up to 30% at 3000 rpm. This is mainly due to </w:t>
      </w:r>
      <w:r w:rsidRPr="006A4E1B">
        <w:rPr>
          <w:rStyle w:val="highlight-module1p2so"/>
          <w:rFonts w:cs="Arial"/>
          <w:szCs w:val="18"/>
        </w:rPr>
        <w:t>the favourable H/C</w:t>
      </w:r>
      <w:r w:rsidRPr="006A4E1B">
        <w:rPr>
          <w:rFonts w:cs="Arial"/>
          <w:szCs w:val="18"/>
        </w:rPr>
        <w:t xml:space="preserve"> ratio in the EL molecule, compared to gasoline fuel, and also to the presence of oxygen in the molecule which enhances the carbon complete oxidation during combustion.</w:t>
      </w:r>
      <w:r>
        <w:rPr>
          <w:rFonts w:cs="Arial"/>
          <w:szCs w:val="18"/>
        </w:rPr>
        <w:t xml:space="preserve"> </w:t>
      </w:r>
      <w:r>
        <w:rPr>
          <w:rStyle w:val="highlight-module1p2so"/>
          <w:rFonts w:cs="Arial"/>
          <w:szCs w:val="18"/>
        </w:rPr>
        <w:t>O</w:t>
      </w:r>
      <w:r w:rsidRPr="00703F97">
        <w:rPr>
          <w:rStyle w:val="highlight-module1p2so"/>
          <w:rFonts w:cs="Arial"/>
          <w:szCs w:val="18"/>
        </w:rPr>
        <w:t>verall, as previously</w:t>
      </w:r>
      <w:r>
        <w:rPr>
          <w:rStyle w:val="highlight-module1p2so"/>
          <w:rFonts w:cs="Arial"/>
          <w:szCs w:val="18"/>
        </w:rPr>
        <w:t xml:space="preserve"> verified for the Diesel engine</w:t>
      </w:r>
      <w:r w:rsidR="006A4E1B" w:rsidRPr="004D1884">
        <w:rPr>
          <w:rStyle w:val="highlight-module1p2so"/>
          <w:rFonts w:cs="Arial"/>
          <w:szCs w:val="18"/>
        </w:rPr>
        <w:t>, even in the gasoline engine the use of mixtures with 10% EL does not fundament</w:t>
      </w:r>
      <w:r w:rsidR="006A4E1B" w:rsidRPr="006A4E1B">
        <w:rPr>
          <w:rStyle w:val="highlight-module1p2so"/>
          <w:rFonts w:cs="Arial"/>
          <w:szCs w:val="18"/>
        </w:rPr>
        <w:t>ally alter engine performance, confirming that their use is perfectly compatible with the cha</w:t>
      </w:r>
      <w:r w:rsidR="00F30398">
        <w:rPr>
          <w:rStyle w:val="highlight-module1p2so"/>
          <w:rFonts w:cs="Arial"/>
          <w:szCs w:val="18"/>
        </w:rPr>
        <w:t>racteristics of modern engines.</w:t>
      </w:r>
      <w:r w:rsidR="0012053B">
        <w:rPr>
          <w:rStyle w:val="highlight-module1p2so"/>
          <w:rFonts w:cs="Arial"/>
          <w:szCs w:val="18"/>
        </w:rPr>
        <w:t xml:space="preserve"> </w:t>
      </w:r>
    </w:p>
    <w:p w14:paraId="5DE76BD7" w14:textId="77777777" w:rsidR="008A1A3F" w:rsidRDefault="006B481B" w:rsidP="00BA4DCE">
      <w:pPr>
        <w:spacing w:before="240" w:after="240"/>
        <w:jc w:val="center"/>
        <w:rPr>
          <w:rStyle w:val="highlight-module1p2so"/>
          <w:rFonts w:cs="Arial"/>
          <w:szCs w:val="18"/>
        </w:rPr>
      </w:pPr>
      <w:r w:rsidRPr="006B481B">
        <w:rPr>
          <w:rFonts w:cs="Arial"/>
          <w:noProof/>
          <w:szCs w:val="18"/>
          <w:lang w:eastAsia="en-GB"/>
        </w:rPr>
        <w:drawing>
          <wp:inline distT="0" distB="0" distL="0" distR="0" wp14:anchorId="6BF6CC73" wp14:editId="760E38E2">
            <wp:extent cx="3641271" cy="2170650"/>
            <wp:effectExtent l="0" t="0" r="0" b="1270"/>
            <wp:docPr id="1" name="Immagine 1" descr="D:\Università\Progetti di Ricerca - Contratti\Progetto Bio-Additivi\Motore Volkswagen\Foto Volkswagen_CRIB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à\Progetti di Ricerca - Contratti\Progetto Bio-Additivi\Motore Volkswagen\Foto Volkswagen_CRIBE 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20453" b="58"/>
                    <a:stretch/>
                  </pic:blipFill>
                  <pic:spPr bwMode="auto">
                    <a:xfrm>
                      <a:off x="0" y="0"/>
                      <a:ext cx="3659121" cy="2181291"/>
                    </a:xfrm>
                    <a:prstGeom prst="rect">
                      <a:avLst/>
                    </a:prstGeom>
                    <a:noFill/>
                    <a:ln>
                      <a:noFill/>
                    </a:ln>
                    <a:extLst>
                      <a:ext uri="{53640926-AAD7-44D8-BBD7-CCE9431645EC}">
                        <a14:shadowObscured xmlns:a14="http://schemas.microsoft.com/office/drawing/2010/main"/>
                      </a:ext>
                    </a:extLst>
                  </pic:spPr>
                </pic:pic>
              </a:graphicData>
            </a:graphic>
          </wp:inline>
        </w:drawing>
      </w:r>
    </w:p>
    <w:p w14:paraId="1220EEA0" w14:textId="77777777" w:rsidR="004D1688" w:rsidRPr="00275837" w:rsidRDefault="00D64097" w:rsidP="00BA4DCE">
      <w:pPr>
        <w:spacing w:before="240" w:after="240"/>
        <w:jc w:val="center"/>
        <w:rPr>
          <w:rStyle w:val="highlight-module1p2so"/>
          <w:rFonts w:cs="Arial"/>
          <w:bCs/>
          <w:i/>
          <w:szCs w:val="22"/>
        </w:rPr>
      </w:pPr>
      <w:r>
        <w:rPr>
          <w:rFonts w:cs="Arial"/>
          <w:bCs/>
          <w:i/>
          <w:szCs w:val="22"/>
        </w:rPr>
        <w:t>Figure 1</w:t>
      </w:r>
      <w:r w:rsidR="004D1688" w:rsidRPr="00275837">
        <w:rPr>
          <w:rFonts w:cs="Arial"/>
          <w:bCs/>
          <w:i/>
          <w:szCs w:val="22"/>
        </w:rPr>
        <w:t xml:space="preserve">: </w:t>
      </w:r>
      <w:r w:rsidR="004D1688">
        <w:rPr>
          <w:rFonts w:cs="Arial"/>
          <w:bCs/>
          <w:i/>
          <w:szCs w:val="22"/>
        </w:rPr>
        <w:t>The Volkswagen gasoline engine on the test bench</w:t>
      </w:r>
      <w:r w:rsidR="004D1688" w:rsidRPr="00275837">
        <w:rPr>
          <w:rFonts w:cs="Arial"/>
          <w:bCs/>
          <w:i/>
          <w:szCs w:val="22"/>
        </w:rPr>
        <w:t>.</w:t>
      </w:r>
    </w:p>
    <w:p w14:paraId="146F2999" w14:textId="77777777" w:rsidR="006A4E1B" w:rsidRPr="006A4E1B" w:rsidRDefault="006A4E1B" w:rsidP="00BA4DCE">
      <w:pPr>
        <w:pStyle w:val="RSCR02References"/>
        <w:numPr>
          <w:ilvl w:val="0"/>
          <w:numId w:val="0"/>
        </w:numPr>
        <w:shd w:val="clear" w:color="auto" w:fill="FFFFFF"/>
        <w:spacing w:before="240" w:after="240" w:line="240" w:lineRule="auto"/>
        <w:jc w:val="center"/>
        <w:rPr>
          <w:rStyle w:val="highlight-module1p2so"/>
          <w:rFonts w:ascii="Arial" w:hAnsi="Arial" w:cs="Arial"/>
          <w:szCs w:val="24"/>
          <w:lang w:val="en-US"/>
        </w:rPr>
      </w:pPr>
      <w:r w:rsidRPr="006A4E1B">
        <w:rPr>
          <w:rFonts w:ascii="Arial" w:hAnsi="Arial" w:cs="Arial"/>
          <w:noProof/>
          <w:lang w:eastAsia="en-GB"/>
        </w:rPr>
        <w:drawing>
          <wp:inline distT="0" distB="0" distL="0" distR="0" wp14:anchorId="1AA92B11" wp14:editId="66E5F37B">
            <wp:extent cx="3657600" cy="2394857"/>
            <wp:effectExtent l="0" t="0" r="0" b="5715"/>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9B9246" w14:textId="77777777" w:rsidR="006A4E1B" w:rsidRPr="00275837" w:rsidRDefault="00D64097" w:rsidP="00BA4DCE">
      <w:pPr>
        <w:spacing w:before="240" w:after="240" w:line="240" w:lineRule="auto"/>
        <w:jc w:val="center"/>
        <w:rPr>
          <w:rStyle w:val="highlight-module1p2so"/>
          <w:rFonts w:cs="Arial"/>
          <w:bCs/>
          <w:i/>
          <w:szCs w:val="22"/>
        </w:rPr>
      </w:pPr>
      <w:r>
        <w:rPr>
          <w:rFonts w:cs="Arial"/>
          <w:bCs/>
          <w:i/>
          <w:szCs w:val="22"/>
        </w:rPr>
        <w:t>Figure 2</w:t>
      </w:r>
      <w:r w:rsidR="00275837" w:rsidRPr="00275837">
        <w:rPr>
          <w:rFonts w:cs="Arial"/>
          <w:bCs/>
          <w:i/>
          <w:szCs w:val="22"/>
        </w:rPr>
        <w:t xml:space="preserve">: </w:t>
      </w:r>
      <w:r w:rsidR="006A4E1B" w:rsidRPr="00275837">
        <w:rPr>
          <w:rFonts w:cs="Arial"/>
          <w:bCs/>
          <w:i/>
          <w:szCs w:val="22"/>
        </w:rPr>
        <w:t>Comparison of engine power and torque at full load and different rpm.</w:t>
      </w:r>
    </w:p>
    <w:p w14:paraId="76474A0A" w14:textId="77777777" w:rsidR="006A4E1B" w:rsidRPr="006A4E1B" w:rsidRDefault="006A4E1B" w:rsidP="00BA4DCE">
      <w:pPr>
        <w:pStyle w:val="RSCR02References"/>
        <w:numPr>
          <w:ilvl w:val="0"/>
          <w:numId w:val="0"/>
        </w:numPr>
        <w:shd w:val="clear" w:color="auto" w:fill="FFFFFF"/>
        <w:spacing w:before="240" w:after="240" w:line="264" w:lineRule="auto"/>
        <w:jc w:val="center"/>
        <w:rPr>
          <w:rStyle w:val="highlight-module1p2so"/>
          <w:rFonts w:ascii="Arial" w:hAnsi="Arial" w:cs="Arial"/>
          <w:szCs w:val="24"/>
          <w:lang w:val="en-US"/>
        </w:rPr>
      </w:pPr>
      <w:r w:rsidRPr="006A4E1B">
        <w:rPr>
          <w:rFonts w:ascii="Arial" w:hAnsi="Arial" w:cs="Arial"/>
          <w:noProof/>
          <w:lang w:eastAsia="en-GB"/>
        </w:rPr>
        <w:lastRenderedPageBreak/>
        <w:drawing>
          <wp:inline distT="0" distB="0" distL="0" distR="0" wp14:anchorId="1EBA9A64" wp14:editId="77C1A699">
            <wp:extent cx="3701415" cy="2303115"/>
            <wp:effectExtent l="0" t="0" r="0" b="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F04DD5" w14:textId="77777777" w:rsidR="006A4E1B" w:rsidRPr="00275837" w:rsidRDefault="00D64097" w:rsidP="00BA4DCE">
      <w:pPr>
        <w:spacing w:before="240" w:after="240"/>
        <w:jc w:val="center"/>
        <w:rPr>
          <w:rFonts w:cs="Arial"/>
          <w:bCs/>
          <w:i/>
          <w:szCs w:val="22"/>
        </w:rPr>
      </w:pPr>
      <w:r>
        <w:rPr>
          <w:rFonts w:cs="Arial"/>
          <w:bCs/>
          <w:i/>
          <w:szCs w:val="22"/>
        </w:rPr>
        <w:t>Figure 3</w:t>
      </w:r>
      <w:r w:rsidR="00275837" w:rsidRPr="00275837">
        <w:rPr>
          <w:rFonts w:cs="Arial"/>
          <w:bCs/>
          <w:i/>
          <w:szCs w:val="22"/>
        </w:rPr>
        <w:t xml:space="preserve">: </w:t>
      </w:r>
      <w:r w:rsidR="006A4E1B" w:rsidRPr="00275837">
        <w:rPr>
          <w:rFonts w:cs="Arial"/>
          <w:bCs/>
          <w:i/>
          <w:szCs w:val="22"/>
        </w:rPr>
        <w:t>Comparison of HC and CO emissions at full load and different rpm.</w:t>
      </w:r>
    </w:p>
    <w:p w14:paraId="48E6A2F2" w14:textId="77777777" w:rsidR="00600535" w:rsidRPr="00B57B36" w:rsidRDefault="00600535" w:rsidP="00BA4DCE">
      <w:pPr>
        <w:pStyle w:val="CETHeading1"/>
        <w:rPr>
          <w:lang w:val="en-GB"/>
        </w:rPr>
      </w:pPr>
      <w:r w:rsidRPr="00B57B36">
        <w:rPr>
          <w:lang w:val="en-GB"/>
        </w:rPr>
        <w:t>Conclusions</w:t>
      </w:r>
    </w:p>
    <w:p w14:paraId="5305EB17" w14:textId="544878B1" w:rsidR="006E07FD" w:rsidRPr="00BA4DCE" w:rsidRDefault="0042385E" w:rsidP="006E07FD">
      <w:pPr>
        <w:pStyle w:val="Paragrafoelenco"/>
        <w:shd w:val="clear" w:color="auto" w:fill="FFFFFF"/>
        <w:spacing w:line="276" w:lineRule="auto"/>
        <w:ind w:left="0"/>
        <w:rPr>
          <w:rFonts w:cs="Arial"/>
          <w:szCs w:val="18"/>
          <w:lang w:val="en-US"/>
        </w:rPr>
      </w:pPr>
      <w:r>
        <w:rPr>
          <w:rFonts w:cs="Arial"/>
          <w:szCs w:val="18"/>
        </w:rPr>
        <w:t>In t</w:t>
      </w:r>
      <w:r w:rsidR="006E07FD" w:rsidRPr="00BA4DCE">
        <w:rPr>
          <w:rFonts w:cs="Arial"/>
          <w:szCs w:val="18"/>
          <w:lang w:val="en-US"/>
        </w:rPr>
        <w:t>he present study the production and use of a second generation bio-fuel, Ethyl Levulinate</w:t>
      </w:r>
      <w:r>
        <w:rPr>
          <w:rFonts w:cs="Arial"/>
          <w:szCs w:val="18"/>
          <w:lang w:val="en-US"/>
        </w:rPr>
        <w:t>,</w:t>
      </w:r>
      <w:r w:rsidR="006E07FD" w:rsidRPr="00BA4DCE">
        <w:rPr>
          <w:rFonts w:cs="Arial"/>
          <w:szCs w:val="18"/>
          <w:lang w:val="en-US"/>
        </w:rPr>
        <w:t xml:space="preserve"> obtained from defatted cardoon ethanolysis</w:t>
      </w:r>
      <w:r>
        <w:rPr>
          <w:rFonts w:cs="Arial"/>
          <w:szCs w:val="18"/>
          <w:lang w:val="en-US"/>
        </w:rPr>
        <w:t xml:space="preserve"> has been analysed</w:t>
      </w:r>
      <w:r w:rsidR="00216DD2" w:rsidRPr="00BA4DCE">
        <w:rPr>
          <w:rFonts w:cs="Arial"/>
          <w:szCs w:val="18"/>
          <w:lang w:val="en-US"/>
        </w:rPr>
        <w:t>.</w:t>
      </w:r>
      <w:r w:rsidR="006E07FD" w:rsidRPr="00BA4DCE">
        <w:rPr>
          <w:rFonts w:cs="Arial"/>
          <w:szCs w:val="18"/>
          <w:lang w:val="en-US"/>
        </w:rPr>
        <w:t xml:space="preserve"> The </w:t>
      </w:r>
      <w:r w:rsidR="0050072E" w:rsidRPr="00BA4DCE">
        <w:rPr>
          <w:rFonts w:cs="Arial"/>
          <w:szCs w:val="18"/>
          <w:lang w:val="en-US"/>
        </w:rPr>
        <w:t xml:space="preserve">OFAT </w:t>
      </w:r>
      <w:r w:rsidR="006E07FD" w:rsidRPr="00BA4DCE">
        <w:rPr>
          <w:rFonts w:cs="Arial"/>
          <w:szCs w:val="18"/>
          <w:lang w:val="en-US"/>
        </w:rPr>
        <w:t>optimization of the reaction parameters adopting diluted H</w:t>
      </w:r>
      <w:r w:rsidR="006E07FD" w:rsidRPr="00BA4DCE">
        <w:rPr>
          <w:rFonts w:cs="Arial"/>
          <w:szCs w:val="18"/>
          <w:vertAlign w:val="subscript"/>
          <w:lang w:val="en-US"/>
        </w:rPr>
        <w:t>2</w:t>
      </w:r>
      <w:r w:rsidR="006E07FD" w:rsidRPr="00BA4DCE">
        <w:rPr>
          <w:rFonts w:cs="Arial"/>
          <w:szCs w:val="18"/>
          <w:lang w:val="en-US"/>
        </w:rPr>
        <w:t>SO</w:t>
      </w:r>
      <w:r w:rsidR="006E07FD" w:rsidRPr="00BA4DCE">
        <w:rPr>
          <w:rFonts w:cs="Arial"/>
          <w:szCs w:val="18"/>
          <w:vertAlign w:val="subscript"/>
          <w:lang w:val="en-US"/>
        </w:rPr>
        <w:t>4</w:t>
      </w:r>
      <w:r w:rsidR="006E07FD" w:rsidRPr="00BA4DCE">
        <w:rPr>
          <w:rFonts w:cs="Arial"/>
          <w:szCs w:val="18"/>
          <w:lang w:val="en-US"/>
        </w:rPr>
        <w:t xml:space="preserve"> as catalyst allowed to reach molar yields to EL of about </w:t>
      </w:r>
      <w:r w:rsidR="00B07C6C" w:rsidRPr="00BA4DCE">
        <w:rPr>
          <w:rFonts w:cs="Arial"/>
          <w:szCs w:val="18"/>
          <w:lang w:val="en-US"/>
        </w:rPr>
        <w:t xml:space="preserve">35 </w:t>
      </w:r>
      <w:r w:rsidR="006E07FD" w:rsidRPr="00BA4DCE">
        <w:rPr>
          <w:rFonts w:cs="Arial"/>
          <w:szCs w:val="18"/>
          <w:lang w:val="en-US"/>
        </w:rPr>
        <w:t>mol.%, also adopting high substrate loading (</w:t>
      </w:r>
      <w:r w:rsidR="00B07C6C" w:rsidRPr="00BA4DCE">
        <w:rPr>
          <w:rFonts w:cs="Arial"/>
          <w:szCs w:val="18"/>
          <w:lang w:val="en-US"/>
        </w:rPr>
        <w:t xml:space="preserve">14 </w:t>
      </w:r>
      <w:r w:rsidR="006E07FD" w:rsidRPr="00BA4DCE">
        <w:rPr>
          <w:rFonts w:cs="Arial"/>
          <w:szCs w:val="18"/>
          <w:lang w:val="en-US"/>
        </w:rPr>
        <w:t>wt.%).</w:t>
      </w:r>
      <w:r w:rsidR="008B4AF8" w:rsidRPr="00BA4DCE">
        <w:rPr>
          <w:rFonts w:cs="Arial"/>
          <w:szCs w:val="18"/>
          <w:lang w:val="en-US"/>
        </w:rPr>
        <w:t xml:space="preserve"> </w:t>
      </w:r>
    </w:p>
    <w:p w14:paraId="3578B3BB" w14:textId="77777777" w:rsidR="007F179A" w:rsidRDefault="006E07FD" w:rsidP="00D64097">
      <w:pPr>
        <w:pStyle w:val="CETBodytext"/>
        <w:rPr>
          <w:rFonts w:cs="Arial"/>
          <w:szCs w:val="18"/>
        </w:rPr>
      </w:pPr>
      <w:r w:rsidRPr="00BA4DCE">
        <w:rPr>
          <w:rFonts w:cs="Arial"/>
          <w:szCs w:val="18"/>
        </w:rPr>
        <w:t>The feasibility of using EL as bio-blendstock</w:t>
      </w:r>
      <w:r w:rsidR="00216DD2" w:rsidRPr="00BA4DCE">
        <w:rPr>
          <w:rFonts w:cs="Arial"/>
          <w:szCs w:val="18"/>
        </w:rPr>
        <w:t xml:space="preserve"> </w:t>
      </w:r>
      <w:r w:rsidRPr="00BA4DCE">
        <w:rPr>
          <w:rFonts w:cs="Arial"/>
          <w:szCs w:val="18"/>
        </w:rPr>
        <w:t>in</w:t>
      </w:r>
      <w:r w:rsidR="00216DD2" w:rsidRPr="00BA4DCE">
        <w:rPr>
          <w:rFonts w:cs="Arial"/>
          <w:szCs w:val="18"/>
        </w:rPr>
        <w:t xml:space="preserve"> </w:t>
      </w:r>
      <w:r w:rsidR="004D122E" w:rsidRPr="00BA4DCE">
        <w:rPr>
          <w:rFonts w:cs="Arial"/>
          <w:szCs w:val="18"/>
        </w:rPr>
        <w:t xml:space="preserve">a gasoline </w:t>
      </w:r>
      <w:r w:rsidRPr="00BA4DCE">
        <w:rPr>
          <w:rFonts w:cs="Arial"/>
          <w:szCs w:val="18"/>
        </w:rPr>
        <w:t>Intern</w:t>
      </w:r>
      <w:r w:rsidR="004D122E" w:rsidRPr="00BA4DCE">
        <w:rPr>
          <w:rFonts w:cs="Arial"/>
          <w:szCs w:val="18"/>
        </w:rPr>
        <w:t>al Combustion Engines was analyz</w:t>
      </w:r>
      <w:r w:rsidRPr="00BA4DCE">
        <w:rPr>
          <w:rFonts w:cs="Arial"/>
          <w:szCs w:val="18"/>
        </w:rPr>
        <w:t xml:space="preserve">ed as well. </w:t>
      </w:r>
      <w:r w:rsidR="00DB3004" w:rsidRPr="00BA4DCE">
        <w:rPr>
          <w:rFonts w:cs="Arial"/>
          <w:szCs w:val="18"/>
        </w:rPr>
        <w:t>The</w:t>
      </w:r>
      <w:r w:rsidRPr="00BA4DCE">
        <w:rPr>
          <w:rFonts w:cs="Arial"/>
          <w:szCs w:val="18"/>
        </w:rPr>
        <w:t xml:space="preserve"> experimental campaign</w:t>
      </w:r>
      <w:r w:rsidR="00DB3004" w:rsidRPr="00BA4DCE">
        <w:rPr>
          <w:rFonts w:cs="Arial"/>
          <w:szCs w:val="18"/>
        </w:rPr>
        <w:t xml:space="preserve">, conducted utilizing a mixture of commercial </w:t>
      </w:r>
      <w:r w:rsidR="004D122E" w:rsidRPr="00BA4DCE">
        <w:rPr>
          <w:rFonts w:cs="Arial"/>
          <w:szCs w:val="18"/>
        </w:rPr>
        <w:t>gasoline fuels and EL</w:t>
      </w:r>
      <w:r w:rsidR="00DB3004" w:rsidRPr="00BA4DCE">
        <w:rPr>
          <w:rFonts w:cs="Arial"/>
          <w:szCs w:val="18"/>
        </w:rPr>
        <w:t xml:space="preserve"> at 10 vol</w:t>
      </w:r>
      <w:r w:rsidR="00BA4DCE" w:rsidRPr="00BA4DCE">
        <w:rPr>
          <w:rFonts w:cs="Arial"/>
          <w:szCs w:val="18"/>
        </w:rPr>
        <w:t>.</w:t>
      </w:r>
      <w:r w:rsidR="00DB3004" w:rsidRPr="00BA4DCE">
        <w:rPr>
          <w:rFonts w:cs="Arial"/>
          <w:szCs w:val="18"/>
        </w:rPr>
        <w:t>%,</w:t>
      </w:r>
      <w:r w:rsidR="00BA4DCE" w:rsidRPr="00BA4DCE">
        <w:rPr>
          <w:rFonts w:cs="Arial"/>
          <w:szCs w:val="18"/>
        </w:rPr>
        <w:t xml:space="preserve"> </w:t>
      </w:r>
      <w:r w:rsidR="00DB3004" w:rsidRPr="00BA4DCE">
        <w:rPr>
          <w:rFonts w:cs="Arial"/>
          <w:szCs w:val="18"/>
        </w:rPr>
        <w:t>confirmed that E</w:t>
      </w:r>
      <w:r w:rsidR="00222DB0" w:rsidRPr="00BA4DCE">
        <w:rPr>
          <w:rFonts w:cs="Arial"/>
          <w:szCs w:val="18"/>
        </w:rPr>
        <w:t>L</w:t>
      </w:r>
      <w:r w:rsidR="00DB3004" w:rsidRPr="00BA4DCE">
        <w:rPr>
          <w:rFonts w:cs="Arial"/>
          <w:szCs w:val="18"/>
        </w:rPr>
        <w:t xml:space="preserve"> can be utilized as fuel additive </w:t>
      </w:r>
      <w:r w:rsidR="004D122E" w:rsidRPr="00BA4DCE">
        <w:rPr>
          <w:rFonts w:cs="Arial"/>
          <w:szCs w:val="18"/>
        </w:rPr>
        <w:t>without any particular problem</w:t>
      </w:r>
      <w:r w:rsidRPr="00BA4DCE">
        <w:rPr>
          <w:rFonts w:cs="Arial"/>
          <w:szCs w:val="18"/>
        </w:rPr>
        <w:t xml:space="preserve">. </w:t>
      </w:r>
      <w:r w:rsidR="004D122E" w:rsidRPr="00BA4DCE">
        <w:rPr>
          <w:rFonts w:cs="Arial"/>
          <w:szCs w:val="18"/>
        </w:rPr>
        <w:t xml:space="preserve">The results show that the utilization of mixture with </w:t>
      </w:r>
      <w:r w:rsidRPr="00BA4DCE">
        <w:rPr>
          <w:rFonts w:cs="Arial"/>
          <w:szCs w:val="18"/>
        </w:rPr>
        <w:t>EL</w:t>
      </w:r>
      <w:r w:rsidR="004D122E" w:rsidRPr="00BA4DCE">
        <w:rPr>
          <w:rFonts w:cs="Arial"/>
          <w:szCs w:val="18"/>
        </w:rPr>
        <w:t xml:space="preserve"> does not alter</w:t>
      </w:r>
      <w:r w:rsidRPr="00BA4DCE">
        <w:rPr>
          <w:rFonts w:cs="Arial"/>
          <w:szCs w:val="18"/>
        </w:rPr>
        <w:t xml:space="preserve"> engine performance</w:t>
      </w:r>
      <w:r w:rsidR="004D122E" w:rsidRPr="00BA4DCE">
        <w:rPr>
          <w:rFonts w:cs="Arial"/>
          <w:szCs w:val="18"/>
        </w:rPr>
        <w:t>, compared to those obtained utilizing only gasoline,</w:t>
      </w:r>
      <w:r w:rsidRPr="00BA4DCE">
        <w:rPr>
          <w:rFonts w:cs="Arial"/>
          <w:szCs w:val="18"/>
        </w:rPr>
        <w:t xml:space="preserve"> with beneficial effects on the reduction of </w:t>
      </w:r>
      <w:r w:rsidR="007F179A">
        <w:rPr>
          <w:rFonts w:cs="Arial"/>
          <w:szCs w:val="18"/>
        </w:rPr>
        <w:t>pollutant</w:t>
      </w:r>
      <w:r w:rsidRPr="00BA4DCE">
        <w:rPr>
          <w:rFonts w:cs="Arial"/>
          <w:szCs w:val="18"/>
        </w:rPr>
        <w:t xml:space="preserve"> emissions</w:t>
      </w:r>
      <w:r w:rsidR="007F179A">
        <w:rPr>
          <w:rFonts w:cs="Arial"/>
          <w:szCs w:val="18"/>
        </w:rPr>
        <w:t xml:space="preserve"> which reaches 40% considering HC, while for CO it reaches almost 30%.</w:t>
      </w:r>
    </w:p>
    <w:p w14:paraId="2518AEA5" w14:textId="7D6F22DA" w:rsidR="00F11F7D" w:rsidRDefault="004D122E" w:rsidP="00D64097">
      <w:pPr>
        <w:pStyle w:val="CETBodytext"/>
        <w:rPr>
          <w:rStyle w:val="highlight-module1p2so"/>
          <w:rFonts w:cs="Arial"/>
          <w:szCs w:val="18"/>
        </w:rPr>
      </w:pPr>
      <w:r w:rsidRPr="00BA4DCE">
        <w:rPr>
          <w:rStyle w:val="highlight-module1p2so"/>
          <w:rFonts w:cs="Arial"/>
          <w:szCs w:val="18"/>
        </w:rPr>
        <w:t>P</w:t>
      </w:r>
      <w:r w:rsidR="00F11F7D" w:rsidRPr="00BA4DCE">
        <w:rPr>
          <w:rStyle w:val="highlight-module1p2so"/>
          <w:rFonts w:cs="Arial"/>
          <w:szCs w:val="18"/>
        </w:rPr>
        <w:t xml:space="preserve">reliminary </w:t>
      </w:r>
      <w:r w:rsidRPr="00BA4DCE">
        <w:rPr>
          <w:rStyle w:val="highlight-module1p2so"/>
          <w:rFonts w:cs="Arial"/>
          <w:szCs w:val="18"/>
        </w:rPr>
        <w:t>results of the ongoing research</w:t>
      </w:r>
      <w:r w:rsidR="0028335E" w:rsidRPr="00BA4DCE">
        <w:rPr>
          <w:rStyle w:val="highlight-module1p2so"/>
          <w:rFonts w:cs="Arial"/>
          <w:szCs w:val="18"/>
        </w:rPr>
        <w:t>, which will be</w:t>
      </w:r>
      <w:r w:rsidR="00BA4DCE">
        <w:rPr>
          <w:rStyle w:val="highlight-module1p2so"/>
          <w:rFonts w:cs="Arial"/>
          <w:szCs w:val="18"/>
        </w:rPr>
        <w:t xml:space="preserve"> published</w:t>
      </w:r>
      <w:r w:rsidR="0028335E" w:rsidRPr="00BA4DCE">
        <w:rPr>
          <w:rStyle w:val="highlight-module1p2so"/>
          <w:rFonts w:cs="Arial"/>
          <w:szCs w:val="18"/>
        </w:rPr>
        <w:t xml:space="preserve"> in a next paper,</w:t>
      </w:r>
      <w:r w:rsidR="00216DD2" w:rsidRPr="00BA4DCE">
        <w:rPr>
          <w:rStyle w:val="highlight-module1p2so"/>
          <w:rFonts w:cs="Arial"/>
          <w:szCs w:val="18"/>
        </w:rPr>
        <w:t xml:space="preserve"> </w:t>
      </w:r>
      <w:r w:rsidR="00F11F7D" w:rsidRPr="00BA4DCE">
        <w:rPr>
          <w:rStyle w:val="highlight-module1p2so"/>
          <w:rFonts w:cs="Arial"/>
          <w:szCs w:val="18"/>
        </w:rPr>
        <w:t xml:space="preserve">have confirmed that the maximum percentage of dilution </w:t>
      </w:r>
      <w:r w:rsidR="00D51891">
        <w:rPr>
          <w:rStyle w:val="highlight-module1p2so"/>
          <w:rFonts w:cs="Arial"/>
          <w:szCs w:val="18"/>
        </w:rPr>
        <w:t xml:space="preserve">of EL </w:t>
      </w:r>
      <w:r w:rsidR="00F11F7D" w:rsidRPr="00BA4DCE">
        <w:rPr>
          <w:rStyle w:val="highlight-module1p2so"/>
          <w:rFonts w:cs="Arial"/>
          <w:szCs w:val="18"/>
        </w:rPr>
        <w:t xml:space="preserve">with commercial gasoline </w:t>
      </w:r>
      <w:r w:rsidR="00F11F7D" w:rsidRPr="00D64097">
        <w:rPr>
          <w:rStyle w:val="highlight-module1p2so"/>
          <w:rFonts w:cs="Arial"/>
          <w:szCs w:val="18"/>
        </w:rPr>
        <w:t>fuel goes well beyond 10%, therefore opening up new perspectives on the use of EL</w:t>
      </w:r>
      <w:r w:rsidR="00D51891">
        <w:rPr>
          <w:rStyle w:val="highlight-module1p2so"/>
          <w:rFonts w:cs="Arial"/>
          <w:szCs w:val="18"/>
        </w:rPr>
        <w:t xml:space="preserve"> as bio-fuel</w:t>
      </w:r>
      <w:r w:rsidR="00F11F7D" w:rsidRPr="00D64097">
        <w:rPr>
          <w:rStyle w:val="highlight-module1p2so"/>
          <w:rFonts w:cs="Arial"/>
          <w:szCs w:val="18"/>
        </w:rPr>
        <w:t>, even as such.</w:t>
      </w:r>
    </w:p>
    <w:p w14:paraId="1492F540" w14:textId="77777777" w:rsidR="000662C8" w:rsidRPr="00280FAF" w:rsidRDefault="000662C8" w:rsidP="000662C8">
      <w:pPr>
        <w:pStyle w:val="CETHeadingxx"/>
        <w:rPr>
          <w:lang w:val="en-GB"/>
        </w:rPr>
        <w:sectPr w:rsidR="000662C8" w:rsidRPr="00280FAF" w:rsidSect="007D0951">
          <w:type w:val="continuous"/>
          <w:pgSz w:w="11906" w:h="16838" w:code="9"/>
          <w:pgMar w:top="1701" w:right="1418" w:bottom="1701" w:left="1701" w:header="1701" w:footer="0" w:gutter="0"/>
          <w:cols w:space="708"/>
          <w:formProt w:val="0"/>
          <w:titlePg/>
          <w:docGrid w:linePitch="360"/>
        </w:sectPr>
      </w:pPr>
      <w:r>
        <w:t>Nomenclature</w:t>
      </w:r>
    </w:p>
    <w:p w14:paraId="2114D44E" w14:textId="77777777" w:rsidR="006E6126" w:rsidRDefault="006E6126" w:rsidP="006E6126">
      <w:pPr>
        <w:pStyle w:val="CETBodytext"/>
        <w:jc w:val="left"/>
        <w:rPr>
          <w:rFonts w:eastAsia="SimSun"/>
        </w:rPr>
      </w:pPr>
      <w:r>
        <w:rPr>
          <w:rFonts w:eastAsia="SimSun"/>
        </w:rPr>
        <w:lastRenderedPageBreak/>
        <w:t>CN – cetane number</w:t>
      </w:r>
    </w:p>
    <w:p w14:paraId="3DA5EA28" w14:textId="1805A353" w:rsidR="006E6126" w:rsidRPr="00223207" w:rsidRDefault="006E6126" w:rsidP="000662C8">
      <w:pPr>
        <w:pStyle w:val="CETBodytext"/>
        <w:jc w:val="left"/>
        <w:rPr>
          <w:rFonts w:eastAsia="SimSun"/>
          <w:lang w:val="en-GB"/>
        </w:rPr>
      </w:pPr>
      <w:r w:rsidRPr="00223207">
        <w:rPr>
          <w:rFonts w:eastAsia="SimSun"/>
          <w:lang w:val="en-GB"/>
        </w:rPr>
        <w:t>CO – carbon monoxide</w:t>
      </w:r>
    </w:p>
    <w:p w14:paraId="58274A31" w14:textId="3259E4A9" w:rsidR="000662C8" w:rsidRDefault="000662C8" w:rsidP="000662C8">
      <w:pPr>
        <w:pStyle w:val="CETBodytext"/>
        <w:jc w:val="left"/>
        <w:rPr>
          <w:rFonts w:eastAsia="SimSun"/>
        </w:rPr>
      </w:pPr>
      <w:r>
        <w:rPr>
          <w:rFonts w:eastAsia="SimSun"/>
        </w:rPr>
        <w:t>EL – Ethyl Levulinate</w:t>
      </w:r>
    </w:p>
    <w:p w14:paraId="6496E5F1" w14:textId="4918A160" w:rsidR="000662C8" w:rsidRDefault="000662C8" w:rsidP="000662C8">
      <w:pPr>
        <w:pStyle w:val="CETBodytext"/>
        <w:jc w:val="left"/>
        <w:rPr>
          <w:rFonts w:eastAsia="SimSun"/>
        </w:rPr>
      </w:pPr>
      <w:r>
        <w:rPr>
          <w:rFonts w:eastAsia="SimSun"/>
        </w:rPr>
        <w:t>HC – unburned hydrocarbons</w:t>
      </w:r>
    </w:p>
    <w:p w14:paraId="1307BE8C" w14:textId="2B575708" w:rsidR="000662C8" w:rsidRPr="00223207" w:rsidRDefault="000662C8" w:rsidP="000662C8">
      <w:pPr>
        <w:pStyle w:val="CETBodytext"/>
        <w:jc w:val="left"/>
        <w:rPr>
          <w:rFonts w:eastAsia="SimSun"/>
          <w:lang w:val="en-GB"/>
        </w:rPr>
      </w:pPr>
      <w:r w:rsidRPr="00223207">
        <w:rPr>
          <w:rFonts w:eastAsia="SimSun"/>
          <w:lang w:val="en-GB"/>
        </w:rPr>
        <w:t xml:space="preserve">LHV – lower heating value </w:t>
      </w:r>
    </w:p>
    <w:p w14:paraId="50B2AA5E" w14:textId="48EF777F" w:rsidR="006E6126" w:rsidRPr="00223207" w:rsidRDefault="006E6126" w:rsidP="000662C8">
      <w:pPr>
        <w:pStyle w:val="CETBodytext"/>
        <w:jc w:val="left"/>
        <w:rPr>
          <w:rFonts w:eastAsia="SimSun"/>
          <w:lang w:val="en-GB"/>
        </w:rPr>
      </w:pPr>
      <w:r w:rsidRPr="00223207">
        <w:rPr>
          <w:rFonts w:eastAsia="SimSun"/>
          <w:lang w:val="en-GB"/>
        </w:rPr>
        <w:t>NOx – nitrogen oxides</w:t>
      </w:r>
    </w:p>
    <w:p w14:paraId="71BEA62E" w14:textId="67914665" w:rsidR="00C20ED5" w:rsidRPr="00C20ED5" w:rsidRDefault="00C20ED5" w:rsidP="000662C8">
      <w:pPr>
        <w:pStyle w:val="CETBodytext"/>
        <w:jc w:val="left"/>
        <w:rPr>
          <w:rFonts w:eastAsia="SimSun"/>
          <w:lang w:val="en-GB"/>
        </w:rPr>
      </w:pPr>
      <w:r w:rsidRPr="00785A0B">
        <w:rPr>
          <w:rFonts w:cs="Arial"/>
          <w:bCs/>
          <w:szCs w:val="18"/>
          <w:lang w:val="en-GB"/>
        </w:rPr>
        <w:t>OFAT</w:t>
      </w:r>
      <w:r w:rsidRPr="00C20ED5">
        <w:rPr>
          <w:rFonts w:cs="Arial"/>
          <w:bCs/>
          <w:szCs w:val="18"/>
          <w:lang w:val="en-GB"/>
        </w:rPr>
        <w:t xml:space="preserve"> </w:t>
      </w:r>
      <w:r>
        <w:rPr>
          <w:rFonts w:cs="Arial"/>
          <w:bCs/>
          <w:szCs w:val="18"/>
          <w:lang w:val="en-GB"/>
        </w:rPr>
        <w:t xml:space="preserve">- </w:t>
      </w:r>
      <w:r w:rsidRPr="00785A0B">
        <w:rPr>
          <w:rFonts w:cs="Arial"/>
          <w:bCs/>
          <w:szCs w:val="18"/>
          <w:lang w:val="en-GB"/>
        </w:rPr>
        <w:t>One-Factor-At-a-Time</w:t>
      </w:r>
    </w:p>
    <w:p w14:paraId="4CB43B53" w14:textId="54227613" w:rsidR="000662C8" w:rsidRPr="00223207" w:rsidRDefault="000662C8" w:rsidP="000662C8">
      <w:pPr>
        <w:pStyle w:val="CETBodytext"/>
        <w:jc w:val="left"/>
        <w:rPr>
          <w:rFonts w:eastAsia="SimSun"/>
          <w:lang w:val="en-GB"/>
        </w:rPr>
      </w:pPr>
      <w:r w:rsidRPr="00223207">
        <w:rPr>
          <w:rFonts w:eastAsia="SimSun"/>
          <w:lang w:val="en-GB"/>
        </w:rPr>
        <w:t>ON – octane number</w:t>
      </w:r>
    </w:p>
    <w:p w14:paraId="3EF0A8E3" w14:textId="77777777" w:rsidR="00600535" w:rsidRDefault="00600535" w:rsidP="00BA4DCE">
      <w:pPr>
        <w:pStyle w:val="CETAcknowledgementstitle"/>
        <w:spacing w:before="240"/>
      </w:pPr>
      <w:r w:rsidRPr="00B57B36">
        <w:t>Acknowledgments</w:t>
      </w:r>
    </w:p>
    <w:p w14:paraId="318BE81A" w14:textId="0836FA2B" w:rsidR="00B96B4B" w:rsidRPr="00B96B4B" w:rsidRDefault="00B96B4B" w:rsidP="00B96B4B">
      <w:pPr>
        <w:pStyle w:val="MDPI62BackMatter"/>
        <w:ind w:left="0"/>
        <w:rPr>
          <w:rFonts w:ascii="Arial" w:hAnsi="Arial" w:cs="Arial"/>
        </w:rPr>
      </w:pPr>
      <w:r w:rsidRPr="00B96B4B">
        <w:rPr>
          <w:rFonts w:ascii="Arial" w:hAnsi="Arial" w:cs="Arial"/>
        </w:rPr>
        <w:t>The authors thank the project NEST “Network 4 Energy Sustainable Transition” (code PE0000021) funded by the National Recovery and Resilience Plan (NRRP), Mission 4 Component 2 Investment 1.3 – Call for tender No. 1561 of 11.10.2022 of MUR, funded by the European Union – Next</w:t>
      </w:r>
      <w:r w:rsidR="004220AD">
        <w:rPr>
          <w:rFonts w:ascii="Arial" w:hAnsi="Arial" w:cs="Arial"/>
        </w:rPr>
        <w:t xml:space="preserve"> </w:t>
      </w:r>
      <w:r w:rsidRPr="00B96B4B">
        <w:rPr>
          <w:rFonts w:ascii="Arial" w:hAnsi="Arial" w:cs="Arial"/>
        </w:rPr>
        <w:t>Generation</w:t>
      </w:r>
      <w:r w:rsidR="004220AD">
        <w:rPr>
          <w:rFonts w:ascii="Arial" w:hAnsi="Arial" w:cs="Arial"/>
        </w:rPr>
        <w:t xml:space="preserve"> </w:t>
      </w:r>
      <w:r w:rsidRPr="00B96B4B">
        <w:rPr>
          <w:rFonts w:ascii="Arial" w:hAnsi="Arial" w:cs="Arial"/>
        </w:rPr>
        <w:t>EU.</w:t>
      </w:r>
    </w:p>
    <w:p w14:paraId="5F540CE7" w14:textId="77777777" w:rsidR="00600535" w:rsidRPr="00B57B36" w:rsidRDefault="00600535" w:rsidP="00BA4DCE">
      <w:pPr>
        <w:pStyle w:val="CETReference"/>
        <w:spacing w:before="240"/>
      </w:pPr>
      <w:r w:rsidRPr="00B57B36">
        <w:t>References</w:t>
      </w:r>
    </w:p>
    <w:p w14:paraId="367FE37E" w14:textId="3C1090EE" w:rsidR="00775E34" w:rsidRDefault="00775E34" w:rsidP="00223207">
      <w:pPr>
        <w:pStyle w:val="RSCR02References"/>
        <w:numPr>
          <w:ilvl w:val="0"/>
          <w:numId w:val="0"/>
        </w:numPr>
        <w:spacing w:line="264" w:lineRule="auto"/>
        <w:ind w:left="284" w:hanging="284"/>
        <w:rPr>
          <w:rFonts w:ascii="Arial" w:hAnsi="Arial" w:cs="Arial"/>
          <w:i/>
          <w:lang w:val="en-US"/>
        </w:rPr>
      </w:pPr>
      <w:r w:rsidRPr="006E07FD">
        <w:rPr>
          <w:rFonts w:ascii="Arial" w:hAnsi="Arial" w:cs="Arial"/>
          <w:lang w:val="en-US"/>
        </w:rPr>
        <w:t>Ahmad E.; Alam I.; Pant K.K., Haider M.A., “Catalytic and mechanistic insights into the production of ethyl levulinate from bio</w:t>
      </w:r>
      <w:r w:rsidR="00D14BEE">
        <w:rPr>
          <w:rFonts w:ascii="Arial" w:hAnsi="Arial" w:cs="Arial"/>
          <w:lang w:val="en-US"/>
        </w:rPr>
        <w:t>-</w:t>
      </w:r>
      <w:r w:rsidRPr="006E07FD">
        <w:rPr>
          <w:rFonts w:ascii="Arial" w:hAnsi="Arial" w:cs="Arial"/>
          <w:lang w:val="en-US"/>
        </w:rPr>
        <w:t>renewable</w:t>
      </w:r>
      <w:r w:rsidR="003E0BED">
        <w:rPr>
          <w:rFonts w:ascii="Arial" w:hAnsi="Arial" w:cs="Arial"/>
          <w:lang w:val="en-US"/>
        </w:rPr>
        <w:t xml:space="preserve"> </w:t>
      </w:r>
      <w:r w:rsidRPr="006E07FD">
        <w:rPr>
          <w:rFonts w:ascii="Arial" w:hAnsi="Arial" w:cs="Arial"/>
          <w:lang w:val="en-US"/>
        </w:rPr>
        <w:t xml:space="preserve">feedstocks”, </w:t>
      </w:r>
      <w:r w:rsidRPr="006E07FD">
        <w:rPr>
          <w:rFonts w:ascii="Arial" w:hAnsi="Arial" w:cs="Arial"/>
          <w:i/>
          <w:lang w:val="en-US"/>
        </w:rPr>
        <w:t>Green Chem. 2016, 18, 4804–4823.</w:t>
      </w:r>
    </w:p>
    <w:p w14:paraId="63472FFD" w14:textId="5961ECD0" w:rsidR="00C713AC" w:rsidRPr="006E07FD" w:rsidRDefault="00C713AC" w:rsidP="00223207">
      <w:pPr>
        <w:pStyle w:val="RSCR02References"/>
        <w:numPr>
          <w:ilvl w:val="0"/>
          <w:numId w:val="0"/>
        </w:numPr>
        <w:spacing w:line="264" w:lineRule="auto"/>
        <w:ind w:left="284" w:hanging="284"/>
        <w:rPr>
          <w:rFonts w:ascii="Arial" w:hAnsi="Arial" w:cs="Arial"/>
          <w:i/>
          <w:lang w:val="en-US"/>
        </w:rPr>
      </w:pPr>
      <w:r w:rsidRPr="00CD1955">
        <w:rPr>
          <w:rFonts w:ascii="Arial" w:hAnsi="Arial" w:cs="Arial"/>
        </w:rPr>
        <w:t xml:space="preserve">Ahmad K.A., Siddiqui M.H., Pant K.K., Nigam K.D.P., Shetti N.P., Aminabhavi T.M., Ahmad E., </w:t>
      </w:r>
      <w:r w:rsidRPr="00CD1955">
        <w:rPr>
          <w:rFonts w:ascii="Arial" w:hAnsi="Arial" w:cs="Arial"/>
          <w:lang w:val="en-US"/>
        </w:rPr>
        <w:t>“C</w:t>
      </w:r>
      <w:r w:rsidRPr="00CD1955">
        <w:rPr>
          <w:rFonts w:ascii="Arial" w:hAnsi="Arial" w:cs="Arial"/>
        </w:rPr>
        <w:t xml:space="preserve">ritical review on suitability and catalytic production of butyl levulinate as a blending molecule for green diesel”, </w:t>
      </w:r>
      <w:r w:rsidRPr="00CD1955">
        <w:rPr>
          <w:rFonts w:ascii="Arial" w:hAnsi="Arial" w:cs="Arial"/>
          <w:i/>
        </w:rPr>
        <w:t xml:space="preserve">Chemical Engineering Journal 2022, </w:t>
      </w:r>
      <w:r w:rsidR="00926E5C" w:rsidRPr="00CD1955">
        <w:rPr>
          <w:rFonts w:ascii="Arial" w:hAnsi="Arial" w:cs="Arial"/>
          <w:i/>
        </w:rPr>
        <w:t>447</w:t>
      </w:r>
      <w:r w:rsidR="00926E5C">
        <w:rPr>
          <w:rFonts w:ascii="Arial" w:hAnsi="Arial" w:cs="Arial"/>
          <w:i/>
        </w:rPr>
        <w:t xml:space="preserve">, </w:t>
      </w:r>
      <w:r w:rsidRPr="00CD1955">
        <w:rPr>
          <w:rFonts w:ascii="Arial" w:hAnsi="Arial" w:cs="Arial"/>
          <w:i/>
        </w:rPr>
        <w:t>137550.</w:t>
      </w:r>
    </w:p>
    <w:p w14:paraId="3D08E73C" w14:textId="18C4E1A8" w:rsidR="00775E34" w:rsidRPr="006E07FD" w:rsidRDefault="00775E34" w:rsidP="00223207">
      <w:pPr>
        <w:pStyle w:val="RSCR02References"/>
        <w:numPr>
          <w:ilvl w:val="0"/>
          <w:numId w:val="0"/>
        </w:numPr>
        <w:spacing w:line="264" w:lineRule="auto"/>
        <w:ind w:left="284" w:hanging="284"/>
        <w:rPr>
          <w:rFonts w:ascii="Arial" w:hAnsi="Arial" w:cs="Arial"/>
          <w:lang w:val="en-US"/>
        </w:rPr>
      </w:pPr>
      <w:r w:rsidRPr="006E07FD">
        <w:rPr>
          <w:rFonts w:ascii="Arial" w:hAnsi="Arial" w:cs="Arial"/>
        </w:rPr>
        <w:t xml:space="preserve">Alalwan H.A., Alminshid A.H., Aljaafari H.A.S., “Promising evolution of biofuel generations”, </w:t>
      </w:r>
      <w:r w:rsidRPr="006E07FD">
        <w:rPr>
          <w:rFonts w:ascii="Arial" w:hAnsi="Arial" w:cs="Arial"/>
          <w:i/>
        </w:rPr>
        <w:t>Subject review. Renew. Energy Focus 28 2019 127–139.</w:t>
      </w:r>
    </w:p>
    <w:p w14:paraId="199BB8F9" w14:textId="2E819BC2" w:rsidR="00775E34" w:rsidRPr="006E07FD" w:rsidRDefault="00775E34" w:rsidP="00223207">
      <w:pPr>
        <w:pStyle w:val="RSCR02References"/>
        <w:numPr>
          <w:ilvl w:val="0"/>
          <w:numId w:val="0"/>
        </w:numPr>
        <w:spacing w:line="264" w:lineRule="auto"/>
        <w:ind w:left="284" w:hanging="284"/>
        <w:rPr>
          <w:rFonts w:ascii="Arial" w:hAnsi="Arial" w:cs="Arial"/>
          <w:i/>
        </w:rPr>
      </w:pPr>
      <w:r w:rsidRPr="006E07FD">
        <w:rPr>
          <w:rFonts w:ascii="Arial" w:hAnsi="Arial" w:cs="Arial"/>
          <w:lang w:val="en-US"/>
        </w:rPr>
        <w:lastRenderedPageBreak/>
        <w:t>Antonetti C., Gori S., Licursi D., Pasini G., Frigo S., López M., Parajó J.C., Raspolli Galletti A.M.,</w:t>
      </w:r>
      <w:r w:rsidR="00D7077F">
        <w:rPr>
          <w:rFonts w:ascii="Arial" w:hAnsi="Arial" w:cs="Arial"/>
          <w:lang w:val="en-US"/>
        </w:rPr>
        <w:t xml:space="preserve"> </w:t>
      </w:r>
      <w:r w:rsidRPr="006E07FD">
        <w:rPr>
          <w:rFonts w:ascii="Arial" w:hAnsi="Arial" w:cs="Arial"/>
          <w:lang w:val="en-US"/>
        </w:rPr>
        <w:t xml:space="preserve">“One-pot alcoholysis of the lignocellulosic eucalyptus nitens biomass to n-butyl levulinate, a valuable additive for diesel motor fuel”, </w:t>
      </w:r>
      <w:r w:rsidRPr="006E07FD">
        <w:rPr>
          <w:rFonts w:ascii="Arial" w:hAnsi="Arial" w:cs="Arial"/>
          <w:i/>
          <w:lang w:val="en-US"/>
        </w:rPr>
        <w:t>Catalysts</w:t>
      </w:r>
      <w:r w:rsidR="00926E5C">
        <w:rPr>
          <w:rFonts w:ascii="Arial" w:hAnsi="Arial" w:cs="Arial"/>
          <w:i/>
          <w:lang w:val="en-US"/>
        </w:rPr>
        <w:t xml:space="preserve"> </w:t>
      </w:r>
      <w:r w:rsidRPr="006E07FD">
        <w:rPr>
          <w:rFonts w:ascii="Arial" w:hAnsi="Arial" w:cs="Arial"/>
          <w:i/>
          <w:lang w:val="en-US"/>
        </w:rPr>
        <w:t>2020, 10 (5), art. no. 509.</w:t>
      </w:r>
    </w:p>
    <w:p w14:paraId="0613E993" w14:textId="1501CD3E" w:rsidR="00775E34" w:rsidRPr="006E07FD" w:rsidRDefault="00775E34" w:rsidP="00223207">
      <w:pPr>
        <w:pStyle w:val="RSCR02References"/>
        <w:numPr>
          <w:ilvl w:val="0"/>
          <w:numId w:val="0"/>
        </w:numPr>
        <w:spacing w:line="264" w:lineRule="auto"/>
        <w:ind w:left="284" w:hanging="284"/>
        <w:rPr>
          <w:rFonts w:ascii="Arial" w:hAnsi="Arial" w:cs="Arial"/>
        </w:rPr>
      </w:pPr>
      <w:r w:rsidRPr="006E07FD">
        <w:rPr>
          <w:rFonts w:ascii="Arial" w:hAnsi="Arial" w:cs="Arial"/>
        </w:rPr>
        <w:t xml:space="preserve">Ashokkumar V., Venkatkarthick R., Jayashree S., Chuetor S., Dharmaraj S., Kumar G., Chen W.H., Ngamcharussrivichai C., “Recent advances in lignocellulosic biomass for biofuels and value-added bioproducts – A critical review”, </w:t>
      </w:r>
      <w:r w:rsidRPr="006E07FD">
        <w:rPr>
          <w:rFonts w:ascii="Arial" w:hAnsi="Arial" w:cs="Arial"/>
          <w:i/>
        </w:rPr>
        <w:t>Biores. Technol. 2022</w:t>
      </w:r>
      <w:r w:rsidR="007F6D35">
        <w:rPr>
          <w:rFonts w:ascii="Arial" w:hAnsi="Arial" w:cs="Arial"/>
          <w:i/>
        </w:rPr>
        <w:t>,</w:t>
      </w:r>
      <w:r w:rsidRPr="006E07FD">
        <w:rPr>
          <w:rFonts w:ascii="Arial" w:hAnsi="Arial" w:cs="Arial"/>
          <w:i/>
        </w:rPr>
        <w:t xml:space="preserve"> </w:t>
      </w:r>
      <w:r w:rsidR="001F26ED" w:rsidRPr="006E07FD">
        <w:rPr>
          <w:rFonts w:ascii="Arial" w:hAnsi="Arial" w:cs="Arial"/>
          <w:i/>
        </w:rPr>
        <w:t>344</w:t>
      </w:r>
      <w:r w:rsidR="001F26ED">
        <w:rPr>
          <w:rFonts w:ascii="Arial" w:hAnsi="Arial" w:cs="Arial"/>
          <w:i/>
        </w:rPr>
        <w:t xml:space="preserve">, </w:t>
      </w:r>
      <w:r w:rsidRPr="006E07FD">
        <w:rPr>
          <w:rFonts w:ascii="Arial" w:hAnsi="Arial" w:cs="Arial"/>
          <w:i/>
        </w:rPr>
        <w:t>126195.</w:t>
      </w:r>
    </w:p>
    <w:p w14:paraId="44F459F5" w14:textId="77777777" w:rsidR="00775E34" w:rsidRPr="006E07FD" w:rsidRDefault="00775E34" w:rsidP="00223207">
      <w:pPr>
        <w:pStyle w:val="RSCR02References"/>
        <w:numPr>
          <w:ilvl w:val="0"/>
          <w:numId w:val="0"/>
        </w:numPr>
        <w:spacing w:line="264" w:lineRule="auto"/>
        <w:ind w:left="284" w:hanging="284"/>
        <w:rPr>
          <w:rFonts w:ascii="Arial" w:hAnsi="Arial" w:cs="Arial"/>
        </w:rPr>
      </w:pPr>
      <w:r w:rsidRPr="006E07FD">
        <w:rPr>
          <w:rFonts w:ascii="Arial" w:hAnsi="Arial" w:cs="Arial"/>
        </w:rPr>
        <w:t xml:space="preserve">Azad K., “Advances in Eco-Fuels for a Sustainable Environment”, </w:t>
      </w:r>
      <w:r w:rsidRPr="006E07FD">
        <w:rPr>
          <w:rFonts w:ascii="Arial" w:hAnsi="Arial" w:cs="Arial"/>
          <w:i/>
        </w:rPr>
        <w:t>Elsevier, Amsterdam, 2019</w:t>
      </w:r>
      <w:r w:rsidRPr="006E07FD">
        <w:rPr>
          <w:rFonts w:ascii="Arial" w:hAnsi="Arial" w:cs="Arial"/>
        </w:rPr>
        <w:t xml:space="preserve">. </w:t>
      </w:r>
    </w:p>
    <w:p w14:paraId="6D2BF6A0" w14:textId="393312F5" w:rsidR="00775E34" w:rsidRPr="006E07FD" w:rsidRDefault="00775E34" w:rsidP="00223207">
      <w:pPr>
        <w:pStyle w:val="RSCR02References"/>
        <w:numPr>
          <w:ilvl w:val="0"/>
          <w:numId w:val="0"/>
        </w:numPr>
        <w:spacing w:line="264" w:lineRule="auto"/>
        <w:ind w:left="284" w:hanging="284"/>
        <w:rPr>
          <w:rFonts w:ascii="Arial" w:hAnsi="Arial" w:cs="Arial"/>
          <w:i/>
        </w:rPr>
      </w:pPr>
      <w:r w:rsidRPr="006E07FD">
        <w:rPr>
          <w:rFonts w:ascii="Arial" w:hAnsi="Arial" w:cs="Arial"/>
        </w:rPr>
        <w:t xml:space="preserve">Bae C., Kim J., “Alternative fuels for internal combustion engines”, </w:t>
      </w:r>
      <w:r w:rsidRPr="006E07FD">
        <w:rPr>
          <w:rFonts w:ascii="Arial" w:hAnsi="Arial" w:cs="Arial"/>
          <w:i/>
        </w:rPr>
        <w:t>Proc. Combust. Inst. 2017</w:t>
      </w:r>
      <w:r w:rsidR="001F26ED">
        <w:rPr>
          <w:rFonts w:ascii="Arial" w:hAnsi="Arial" w:cs="Arial"/>
          <w:i/>
        </w:rPr>
        <w:t>,</w:t>
      </w:r>
      <w:r w:rsidRPr="006E07FD">
        <w:rPr>
          <w:rFonts w:ascii="Arial" w:hAnsi="Arial" w:cs="Arial"/>
          <w:i/>
        </w:rPr>
        <w:t xml:space="preserve"> </w:t>
      </w:r>
      <w:r w:rsidR="001F26ED" w:rsidRPr="006E07FD">
        <w:rPr>
          <w:rFonts w:ascii="Arial" w:hAnsi="Arial" w:cs="Arial"/>
          <w:i/>
        </w:rPr>
        <w:t>36</w:t>
      </w:r>
      <w:r w:rsidR="001F26ED">
        <w:rPr>
          <w:rFonts w:ascii="Arial" w:hAnsi="Arial" w:cs="Arial"/>
          <w:i/>
        </w:rPr>
        <w:t xml:space="preserve">, </w:t>
      </w:r>
      <w:r w:rsidRPr="006E07FD">
        <w:rPr>
          <w:rFonts w:ascii="Arial" w:hAnsi="Arial" w:cs="Arial"/>
          <w:i/>
        </w:rPr>
        <w:t>3389–3413.</w:t>
      </w:r>
    </w:p>
    <w:p w14:paraId="4AA1442C" w14:textId="514EAB45" w:rsidR="00775E34" w:rsidRPr="006E07FD" w:rsidRDefault="00775E34" w:rsidP="00223207">
      <w:pPr>
        <w:pStyle w:val="RSCR02References"/>
        <w:numPr>
          <w:ilvl w:val="0"/>
          <w:numId w:val="0"/>
        </w:numPr>
        <w:spacing w:line="264" w:lineRule="auto"/>
        <w:ind w:left="284" w:hanging="284"/>
        <w:rPr>
          <w:rFonts w:ascii="Arial" w:hAnsi="Arial" w:cs="Arial"/>
          <w:i/>
        </w:rPr>
      </w:pPr>
      <w:bookmarkStart w:id="0" w:name="_Hlk160033039"/>
      <w:r w:rsidRPr="006E07FD">
        <w:rPr>
          <w:rFonts w:ascii="Arial" w:hAnsi="Arial" w:cs="Arial"/>
        </w:rPr>
        <w:t>Çelebia Y</w:t>
      </w:r>
      <w:bookmarkEnd w:id="0"/>
      <w:r w:rsidRPr="006E07FD">
        <w:rPr>
          <w:rFonts w:ascii="Arial" w:hAnsi="Arial" w:cs="Arial"/>
        </w:rPr>
        <w:t xml:space="preserve">., Aydınb H., “An overview on the light alcohol fuels in diesel engines”, </w:t>
      </w:r>
      <w:r w:rsidRPr="006E07FD">
        <w:rPr>
          <w:rFonts w:ascii="Arial" w:hAnsi="Arial" w:cs="Arial"/>
          <w:i/>
        </w:rPr>
        <w:t>Fuel 2019</w:t>
      </w:r>
      <w:r w:rsidR="000B3102">
        <w:rPr>
          <w:rFonts w:ascii="Arial" w:hAnsi="Arial" w:cs="Arial"/>
          <w:i/>
        </w:rPr>
        <w:t xml:space="preserve">, </w:t>
      </w:r>
      <w:r w:rsidR="000B3102" w:rsidRPr="006E07FD">
        <w:rPr>
          <w:rFonts w:ascii="Arial" w:hAnsi="Arial" w:cs="Arial"/>
          <w:i/>
        </w:rPr>
        <w:t>236</w:t>
      </w:r>
      <w:r w:rsidR="000B3102">
        <w:rPr>
          <w:rFonts w:ascii="Arial" w:hAnsi="Arial" w:cs="Arial"/>
          <w:i/>
        </w:rPr>
        <w:t>,</w:t>
      </w:r>
      <w:r w:rsidRPr="006E07FD">
        <w:rPr>
          <w:rFonts w:ascii="Arial" w:hAnsi="Arial" w:cs="Arial"/>
          <w:i/>
        </w:rPr>
        <w:t xml:space="preserve"> 890-911.</w:t>
      </w:r>
    </w:p>
    <w:p w14:paraId="376D65FB" w14:textId="42EA3860" w:rsidR="00775E34" w:rsidRPr="00223207" w:rsidRDefault="00775E34" w:rsidP="00223207">
      <w:pPr>
        <w:pStyle w:val="RSCR02References"/>
        <w:numPr>
          <w:ilvl w:val="0"/>
          <w:numId w:val="0"/>
        </w:numPr>
        <w:spacing w:line="264" w:lineRule="auto"/>
        <w:ind w:left="284" w:hanging="284"/>
        <w:rPr>
          <w:rFonts w:ascii="Arial" w:hAnsi="Arial" w:cs="Arial"/>
          <w:i/>
        </w:rPr>
      </w:pPr>
      <w:r w:rsidRPr="00223207">
        <w:rPr>
          <w:rFonts w:ascii="Arial" w:hAnsi="Arial" w:cs="Arial"/>
        </w:rPr>
        <w:t>Frigo S., Antonelli M., Francesconi M., Raspolli Galletti A.M., “</w:t>
      </w:r>
      <w:r w:rsidRPr="00223207">
        <w:rPr>
          <w:rFonts w:ascii="Arial" w:hAnsi="Arial" w:cs="Arial"/>
          <w:bCs/>
        </w:rPr>
        <w:t>Utilisation of Ethyl Levulinate as Diesel Fuel Additive”,</w:t>
      </w:r>
      <w:r w:rsidR="00D7077F" w:rsidRPr="00223207">
        <w:rPr>
          <w:rFonts w:ascii="Arial" w:hAnsi="Arial" w:cs="Arial"/>
          <w:bCs/>
        </w:rPr>
        <w:t xml:space="preserve"> </w:t>
      </w:r>
      <w:r w:rsidRPr="00223207">
        <w:rPr>
          <w:rFonts w:ascii="Arial" w:hAnsi="Arial" w:cs="Arial"/>
          <w:i/>
        </w:rPr>
        <w:t xml:space="preserve">Journal of Physics: Conference Series 2023, </w:t>
      </w:r>
      <w:r w:rsidRPr="00223207">
        <w:rPr>
          <w:rFonts w:ascii="Arial" w:hAnsi="Arial" w:cs="Arial"/>
          <w:bCs/>
          <w:i/>
        </w:rPr>
        <w:t xml:space="preserve">2648, </w:t>
      </w:r>
      <w:r w:rsidRPr="00223207">
        <w:rPr>
          <w:rFonts w:ascii="Arial" w:hAnsi="Arial" w:cs="Arial"/>
          <w:i/>
        </w:rPr>
        <w:t>012072.</w:t>
      </w:r>
    </w:p>
    <w:p w14:paraId="7AEE227A" w14:textId="7BA111A2" w:rsidR="00E01661" w:rsidRPr="00E01661" w:rsidRDefault="00E01661" w:rsidP="00223207">
      <w:pPr>
        <w:pStyle w:val="Default"/>
        <w:spacing w:line="264" w:lineRule="auto"/>
        <w:ind w:left="284" w:hanging="284"/>
        <w:jc w:val="both"/>
        <w:rPr>
          <w:rFonts w:ascii="Arial" w:hAnsi="Arial" w:cs="Arial"/>
          <w:sz w:val="18"/>
          <w:szCs w:val="18"/>
        </w:rPr>
      </w:pPr>
      <w:r w:rsidRPr="00E01661">
        <w:rPr>
          <w:rFonts w:ascii="Arial" w:hAnsi="Arial" w:cs="Arial"/>
          <w:sz w:val="18"/>
          <w:szCs w:val="18"/>
        </w:rPr>
        <w:t>Ghosh</w:t>
      </w:r>
      <w:r>
        <w:rPr>
          <w:rFonts w:ascii="Arial" w:hAnsi="Arial" w:cs="Arial"/>
          <w:sz w:val="18"/>
          <w:szCs w:val="18"/>
        </w:rPr>
        <w:t xml:space="preserve"> M.K., </w:t>
      </w:r>
      <w:r w:rsidRPr="00E01661">
        <w:rPr>
          <w:rFonts w:ascii="Arial" w:eastAsia="PDKBM P+ MTSY" w:hAnsi="Arial" w:cs="Arial"/>
          <w:sz w:val="18"/>
          <w:szCs w:val="18"/>
        </w:rPr>
        <w:t>Howard</w:t>
      </w:r>
      <w:r>
        <w:rPr>
          <w:rFonts w:ascii="Arial" w:hAnsi="Arial" w:cs="Arial"/>
          <w:sz w:val="18"/>
          <w:szCs w:val="18"/>
        </w:rPr>
        <w:t>M.S., Zhang Y., Djebbi K., Capriolo G. Farooq A., Curran H.J., Dooley S., “</w:t>
      </w:r>
      <w:r w:rsidRPr="00E01661">
        <w:rPr>
          <w:rFonts w:ascii="Arial" w:hAnsi="Arial" w:cs="Arial"/>
          <w:sz w:val="18"/>
          <w:szCs w:val="18"/>
        </w:rPr>
        <w:t>The combustion kinetics of the lignocellulosic biofuel, ethyl levulinate</w:t>
      </w:r>
      <w:r>
        <w:rPr>
          <w:rFonts w:ascii="Arial" w:hAnsi="Arial" w:cs="Arial"/>
          <w:sz w:val="18"/>
          <w:szCs w:val="18"/>
        </w:rPr>
        <w:t xml:space="preserve">”, </w:t>
      </w:r>
      <w:r w:rsidRPr="00E01661">
        <w:rPr>
          <w:rFonts w:ascii="Arial" w:hAnsi="Arial" w:cs="Arial"/>
          <w:i/>
          <w:sz w:val="18"/>
          <w:szCs w:val="18"/>
        </w:rPr>
        <w:t>Combustion and Flames 2018, 193, 157-169</w:t>
      </w:r>
      <w:r>
        <w:rPr>
          <w:rFonts w:ascii="Arial" w:hAnsi="Arial" w:cs="Arial"/>
          <w:sz w:val="18"/>
          <w:szCs w:val="18"/>
        </w:rPr>
        <w:t>.</w:t>
      </w:r>
    </w:p>
    <w:p w14:paraId="1CAD896D" w14:textId="77777777" w:rsidR="000A0C69" w:rsidRPr="00BA4DCE" w:rsidRDefault="000A0C69" w:rsidP="00223207">
      <w:pPr>
        <w:pStyle w:val="RSCR02References"/>
        <w:numPr>
          <w:ilvl w:val="0"/>
          <w:numId w:val="0"/>
        </w:numPr>
        <w:spacing w:line="264" w:lineRule="auto"/>
        <w:ind w:left="284" w:hanging="284"/>
        <w:rPr>
          <w:rFonts w:ascii="Arial" w:hAnsi="Arial" w:cs="Arial"/>
          <w:i/>
        </w:rPr>
      </w:pPr>
      <w:r w:rsidRPr="006E07FD">
        <w:rPr>
          <w:rFonts w:ascii="Arial" w:hAnsi="Arial" w:cs="Arial"/>
        </w:rPr>
        <w:t>Heywood J.</w:t>
      </w:r>
      <w:r w:rsidRPr="00BA4DCE">
        <w:rPr>
          <w:rFonts w:ascii="Arial" w:hAnsi="Arial" w:cs="Arial"/>
        </w:rPr>
        <w:t xml:space="preserve">B., “Internal Combustion Engine Fundamentals. 2nd Edition”, </w:t>
      </w:r>
      <w:r w:rsidRPr="00BA4DCE">
        <w:rPr>
          <w:rFonts w:ascii="Arial" w:hAnsi="Arial" w:cs="Arial"/>
          <w:i/>
        </w:rPr>
        <w:t>McGraw-Hill Education, New York, 2018.</w:t>
      </w:r>
    </w:p>
    <w:p w14:paraId="487DCBAD" w14:textId="29A2D4C9" w:rsidR="00A24D84" w:rsidRPr="00DF7B2E" w:rsidRDefault="00FC7F33" w:rsidP="00223207">
      <w:pPr>
        <w:pStyle w:val="RSCR02References"/>
        <w:numPr>
          <w:ilvl w:val="0"/>
          <w:numId w:val="0"/>
        </w:numPr>
        <w:spacing w:line="264" w:lineRule="auto"/>
        <w:ind w:left="284" w:hanging="284"/>
        <w:rPr>
          <w:rFonts w:ascii="Arial" w:hAnsi="Arial" w:cs="Arial"/>
          <w:i/>
        </w:rPr>
      </w:pPr>
      <w:r w:rsidRPr="00BA4DCE">
        <w:rPr>
          <w:rFonts w:ascii="Arial" w:hAnsi="Arial" w:cs="Arial"/>
          <w:lang w:val="en-US"/>
        </w:rPr>
        <w:t xml:space="preserve">Khaldi M., Naouari M., Jemaa A.B., Cardoon (Cynara cardunculus L.) oil from cultivated and wild Tunisian populations and its antimicrobial activity, </w:t>
      </w:r>
      <w:r w:rsidRPr="00BA4DCE">
        <w:rPr>
          <w:rFonts w:ascii="Arial" w:hAnsi="Arial" w:cs="Arial"/>
          <w:i/>
          <w:lang w:val="en-US"/>
        </w:rPr>
        <w:t>Industrial Crops and Products 2021,171, 113852</w:t>
      </w:r>
      <w:r w:rsidRPr="00BA4DCE">
        <w:rPr>
          <w:rFonts w:ascii="Arial" w:hAnsi="Arial" w:cs="Arial"/>
          <w:lang w:val="en-US"/>
        </w:rPr>
        <w:t>.</w:t>
      </w:r>
    </w:p>
    <w:p w14:paraId="1CFB84B7" w14:textId="571FF43B" w:rsidR="000A0C69" w:rsidRPr="006E07FD" w:rsidRDefault="000A0C69" w:rsidP="00223207">
      <w:pPr>
        <w:pStyle w:val="RSCR02References"/>
        <w:numPr>
          <w:ilvl w:val="0"/>
          <w:numId w:val="0"/>
        </w:numPr>
        <w:spacing w:line="264" w:lineRule="auto"/>
        <w:ind w:left="284" w:hanging="284"/>
        <w:rPr>
          <w:rFonts w:ascii="Arial" w:hAnsi="Arial" w:cs="Arial"/>
          <w:i/>
        </w:rPr>
      </w:pPr>
      <w:r w:rsidRPr="006E07FD">
        <w:rPr>
          <w:rFonts w:ascii="Arial" w:hAnsi="Arial" w:cs="Arial"/>
        </w:rPr>
        <w:t xml:space="preserve">Koivisto E., Ladommatos N., Gold M., “Compression Ignition and Exhaust Gas Emissions of Fuel Molecules Which Can Be Produced from Lignocellulosic Biomass: Levulinates, Valeric Esters, and Ketones”, </w:t>
      </w:r>
      <w:r w:rsidRPr="006E07FD">
        <w:rPr>
          <w:rFonts w:ascii="Arial" w:hAnsi="Arial" w:cs="Arial"/>
          <w:i/>
        </w:rPr>
        <w:t>Energy Fuels 2015</w:t>
      </w:r>
      <w:r w:rsidR="000F5B5B">
        <w:rPr>
          <w:rFonts w:ascii="Arial" w:hAnsi="Arial" w:cs="Arial"/>
          <w:i/>
        </w:rPr>
        <w:t>,</w:t>
      </w:r>
      <w:r w:rsidRPr="006E07FD">
        <w:rPr>
          <w:rFonts w:ascii="Arial" w:hAnsi="Arial" w:cs="Arial"/>
          <w:i/>
        </w:rPr>
        <w:t xml:space="preserve"> </w:t>
      </w:r>
      <w:r w:rsidR="000F5B5B" w:rsidRPr="006E07FD">
        <w:rPr>
          <w:rFonts w:ascii="Arial" w:hAnsi="Arial" w:cs="Arial"/>
          <w:i/>
        </w:rPr>
        <w:t>29</w:t>
      </w:r>
      <w:r w:rsidR="000F5B5B">
        <w:rPr>
          <w:rFonts w:ascii="Arial" w:hAnsi="Arial" w:cs="Arial"/>
          <w:i/>
        </w:rPr>
        <w:t xml:space="preserve">, </w:t>
      </w:r>
      <w:r w:rsidRPr="006E07FD">
        <w:rPr>
          <w:rFonts w:ascii="Arial" w:hAnsi="Arial" w:cs="Arial"/>
          <w:i/>
        </w:rPr>
        <w:t>5875−5884.</w:t>
      </w:r>
    </w:p>
    <w:p w14:paraId="781F244A" w14:textId="25F73158" w:rsidR="00775E34" w:rsidRPr="006E07FD" w:rsidRDefault="00775E34" w:rsidP="00223207">
      <w:pPr>
        <w:pStyle w:val="RSCR02References"/>
        <w:numPr>
          <w:ilvl w:val="0"/>
          <w:numId w:val="0"/>
        </w:numPr>
        <w:spacing w:line="264" w:lineRule="auto"/>
        <w:ind w:left="284" w:hanging="284"/>
        <w:rPr>
          <w:rFonts w:ascii="Arial" w:hAnsi="Arial" w:cs="Arial"/>
        </w:rPr>
      </w:pPr>
      <w:r w:rsidRPr="006E07FD">
        <w:rPr>
          <w:rFonts w:ascii="Arial" w:hAnsi="Arial" w:cs="Arial"/>
        </w:rPr>
        <w:t xml:space="preserve">Kumar B., Verma P., “Biomass-based biorefineries: An important architype towards a circular economy”, </w:t>
      </w:r>
      <w:r w:rsidRPr="006E07FD">
        <w:rPr>
          <w:rFonts w:ascii="Arial" w:hAnsi="Arial" w:cs="Arial"/>
          <w:i/>
        </w:rPr>
        <w:t>Fuel 2021</w:t>
      </w:r>
      <w:r w:rsidR="000F5B5B">
        <w:rPr>
          <w:rFonts w:ascii="Arial" w:hAnsi="Arial" w:cs="Arial"/>
          <w:i/>
        </w:rPr>
        <w:t>,</w:t>
      </w:r>
      <w:r w:rsidRPr="006E07FD">
        <w:rPr>
          <w:rFonts w:ascii="Arial" w:hAnsi="Arial" w:cs="Arial"/>
          <w:i/>
        </w:rPr>
        <w:t xml:space="preserve"> </w:t>
      </w:r>
      <w:r w:rsidR="000F5B5B" w:rsidRPr="006E07FD">
        <w:rPr>
          <w:rFonts w:ascii="Arial" w:hAnsi="Arial" w:cs="Arial"/>
          <w:i/>
        </w:rPr>
        <w:t>288</w:t>
      </w:r>
      <w:r w:rsidR="000F5B5B">
        <w:rPr>
          <w:rFonts w:ascii="Arial" w:hAnsi="Arial" w:cs="Arial"/>
          <w:i/>
        </w:rPr>
        <w:t>,</w:t>
      </w:r>
      <w:r w:rsidR="000F5B5B" w:rsidRPr="006E07FD">
        <w:rPr>
          <w:rFonts w:ascii="Arial" w:hAnsi="Arial" w:cs="Arial"/>
          <w:i/>
        </w:rPr>
        <w:t xml:space="preserve"> </w:t>
      </w:r>
      <w:r w:rsidRPr="006E07FD">
        <w:rPr>
          <w:rFonts w:ascii="Arial" w:hAnsi="Arial" w:cs="Arial"/>
          <w:i/>
        </w:rPr>
        <w:t>119622</w:t>
      </w:r>
      <w:r w:rsidRPr="006E07FD">
        <w:rPr>
          <w:rFonts w:ascii="Arial" w:hAnsi="Arial" w:cs="Arial"/>
        </w:rPr>
        <w:t>.</w:t>
      </w:r>
    </w:p>
    <w:p w14:paraId="5DC0137B" w14:textId="187E4835" w:rsidR="00C713AC" w:rsidRPr="00C713AC" w:rsidRDefault="000A0C69" w:rsidP="00223207">
      <w:pPr>
        <w:pStyle w:val="RSCR02References"/>
        <w:numPr>
          <w:ilvl w:val="0"/>
          <w:numId w:val="0"/>
        </w:numPr>
        <w:spacing w:line="264" w:lineRule="auto"/>
        <w:ind w:left="284" w:hanging="284"/>
        <w:rPr>
          <w:rFonts w:ascii="Arial" w:hAnsi="Arial" w:cs="Arial"/>
          <w:i/>
          <w:color w:val="000000"/>
        </w:rPr>
      </w:pPr>
      <w:r w:rsidRPr="006E07FD">
        <w:rPr>
          <w:rFonts w:ascii="Arial" w:hAnsi="Arial" w:cs="Arial"/>
          <w:color w:val="000000"/>
        </w:rPr>
        <w:t xml:space="preserve">Lei T., Wang Z., Chang X., Lin L., Yan X., Sun Y., Shi X., He X., Zhu J., “Performance and emission characteristics of a diesel engine running on optimized ethyl levulinate-biodiesel-diesel blends”, </w:t>
      </w:r>
      <w:r w:rsidRPr="006E07FD">
        <w:rPr>
          <w:rFonts w:ascii="Arial" w:hAnsi="Arial" w:cs="Arial"/>
          <w:i/>
          <w:color w:val="000000"/>
        </w:rPr>
        <w:t xml:space="preserve">Energy 2016, </w:t>
      </w:r>
      <w:r w:rsidR="000F5B5B" w:rsidRPr="006E07FD">
        <w:rPr>
          <w:rFonts w:ascii="Arial" w:hAnsi="Arial" w:cs="Arial"/>
          <w:i/>
          <w:color w:val="000000"/>
        </w:rPr>
        <w:t>95</w:t>
      </w:r>
      <w:r w:rsidR="000F5B5B">
        <w:rPr>
          <w:rFonts w:ascii="Arial" w:hAnsi="Arial" w:cs="Arial"/>
          <w:i/>
          <w:color w:val="000000"/>
        </w:rPr>
        <w:t xml:space="preserve">, </w:t>
      </w:r>
      <w:r w:rsidRPr="006E07FD">
        <w:rPr>
          <w:rFonts w:ascii="Arial" w:hAnsi="Arial" w:cs="Arial"/>
          <w:i/>
          <w:color w:val="000000"/>
        </w:rPr>
        <w:t>29-40.</w:t>
      </w:r>
    </w:p>
    <w:p w14:paraId="2CB84567" w14:textId="68D34B13" w:rsidR="00775E34" w:rsidRPr="006E07FD" w:rsidRDefault="00775E34" w:rsidP="00223207">
      <w:pPr>
        <w:pStyle w:val="RSCR02References"/>
        <w:numPr>
          <w:ilvl w:val="0"/>
          <w:numId w:val="0"/>
        </w:numPr>
        <w:spacing w:line="264" w:lineRule="auto"/>
        <w:ind w:left="284" w:hanging="284"/>
        <w:rPr>
          <w:rFonts w:ascii="Arial" w:hAnsi="Arial" w:cs="Arial"/>
          <w:i/>
        </w:rPr>
      </w:pPr>
      <w:r w:rsidRPr="006E07FD">
        <w:rPr>
          <w:rFonts w:ascii="Arial" w:hAnsi="Arial" w:cs="Arial"/>
        </w:rPr>
        <w:t xml:space="preserve">Mwangi J.K., Lee W.J., Chang Y.C., Chen C.Y., Wang L.C., “An overview: Energy saving and pollution reduction by using green fuel blends in diesel engines”, </w:t>
      </w:r>
      <w:r w:rsidRPr="006E07FD">
        <w:rPr>
          <w:rFonts w:ascii="Arial" w:hAnsi="Arial" w:cs="Arial"/>
          <w:i/>
        </w:rPr>
        <w:t>Appl. Energy 2015</w:t>
      </w:r>
      <w:r w:rsidR="000F5B5B">
        <w:rPr>
          <w:rFonts w:ascii="Arial" w:hAnsi="Arial" w:cs="Arial"/>
          <w:i/>
        </w:rPr>
        <w:t>,</w:t>
      </w:r>
      <w:r w:rsidRPr="006E07FD">
        <w:rPr>
          <w:rFonts w:ascii="Arial" w:hAnsi="Arial" w:cs="Arial"/>
          <w:i/>
        </w:rPr>
        <w:t xml:space="preserve"> </w:t>
      </w:r>
      <w:r w:rsidR="000F5B5B" w:rsidRPr="006E07FD">
        <w:rPr>
          <w:rFonts w:ascii="Arial" w:hAnsi="Arial" w:cs="Arial"/>
          <w:i/>
        </w:rPr>
        <w:t>159</w:t>
      </w:r>
      <w:r w:rsidR="000F5B5B">
        <w:rPr>
          <w:rFonts w:ascii="Arial" w:hAnsi="Arial" w:cs="Arial"/>
          <w:i/>
        </w:rPr>
        <w:t xml:space="preserve">, </w:t>
      </w:r>
      <w:r w:rsidRPr="006E07FD">
        <w:rPr>
          <w:rFonts w:ascii="Arial" w:hAnsi="Arial" w:cs="Arial"/>
          <w:i/>
        </w:rPr>
        <w:t>214–236.</w:t>
      </w:r>
    </w:p>
    <w:p w14:paraId="344B5397" w14:textId="6294D6B2" w:rsidR="00B5654F" w:rsidRDefault="00B5654F" w:rsidP="00223207">
      <w:pPr>
        <w:pStyle w:val="RSCR02References"/>
        <w:numPr>
          <w:ilvl w:val="0"/>
          <w:numId w:val="0"/>
        </w:numPr>
        <w:spacing w:line="264" w:lineRule="auto"/>
        <w:ind w:left="284" w:hanging="284"/>
        <w:rPr>
          <w:rFonts w:ascii="Arial" w:hAnsi="Arial" w:cs="Arial"/>
          <w:i/>
        </w:rPr>
      </w:pPr>
      <w:r w:rsidRPr="00D14BEE">
        <w:rPr>
          <w:rFonts w:ascii="Arial" w:hAnsi="Arial" w:cs="Arial"/>
        </w:rPr>
        <w:t>Raspolli</w:t>
      </w:r>
      <w:r w:rsidR="00DF7B2E">
        <w:rPr>
          <w:rFonts w:ascii="Arial" w:hAnsi="Arial" w:cs="Arial"/>
        </w:rPr>
        <w:t xml:space="preserve"> </w:t>
      </w:r>
      <w:r w:rsidRPr="00D14BEE">
        <w:rPr>
          <w:rFonts w:ascii="Arial" w:hAnsi="Arial" w:cs="Arial"/>
        </w:rPr>
        <w:t>Galletti A.M., Licursi D., Ciorba S., Di Fidio N., Coccia V., Cotana F., AntonettiC.</w:t>
      </w:r>
      <w:r w:rsidR="00D14BEE" w:rsidRPr="00D14BEE">
        <w:rPr>
          <w:rFonts w:ascii="Arial" w:hAnsi="Arial" w:cs="Arial"/>
        </w:rPr>
        <w:t xml:space="preserve">, </w:t>
      </w:r>
      <w:r w:rsidR="002119C0">
        <w:rPr>
          <w:rFonts w:ascii="Arial" w:hAnsi="Arial" w:cs="Arial"/>
        </w:rPr>
        <w:t>“</w:t>
      </w:r>
      <w:r w:rsidRPr="006E07FD">
        <w:rPr>
          <w:rFonts w:ascii="Arial" w:hAnsi="Arial" w:cs="Arial"/>
        </w:rPr>
        <w:t>Sustainable exploitation of residual cynara</w:t>
      </w:r>
      <w:r w:rsidR="003E0BED">
        <w:rPr>
          <w:rFonts w:ascii="Arial" w:hAnsi="Arial" w:cs="Arial"/>
        </w:rPr>
        <w:t xml:space="preserve"> </w:t>
      </w:r>
      <w:r w:rsidRPr="006E07FD">
        <w:rPr>
          <w:rFonts w:ascii="Arial" w:hAnsi="Arial" w:cs="Arial"/>
        </w:rPr>
        <w:t>cardunculus l. To levulinic acid and n-butyl levulinate</w:t>
      </w:r>
      <w:r w:rsidR="002119C0">
        <w:rPr>
          <w:rFonts w:ascii="Arial" w:hAnsi="Arial" w:cs="Arial"/>
        </w:rPr>
        <w:t>”,</w:t>
      </w:r>
      <w:r w:rsidR="000F5B5B">
        <w:rPr>
          <w:rFonts w:ascii="Arial" w:hAnsi="Arial" w:cs="Arial"/>
        </w:rPr>
        <w:t xml:space="preserve"> </w:t>
      </w:r>
      <w:r w:rsidRPr="006E07FD">
        <w:rPr>
          <w:rFonts w:ascii="Arial" w:hAnsi="Arial" w:cs="Arial"/>
          <w:i/>
        </w:rPr>
        <w:t>Catalysts</w:t>
      </w:r>
      <w:r w:rsidR="000F5B5B">
        <w:rPr>
          <w:rFonts w:ascii="Arial" w:hAnsi="Arial" w:cs="Arial"/>
          <w:i/>
        </w:rPr>
        <w:t xml:space="preserve"> </w:t>
      </w:r>
      <w:r w:rsidRPr="006E07FD">
        <w:rPr>
          <w:rFonts w:ascii="Arial" w:hAnsi="Arial" w:cs="Arial"/>
          <w:i/>
        </w:rPr>
        <w:t>2021</w:t>
      </w:r>
      <w:r w:rsidR="000F5B5B">
        <w:rPr>
          <w:rFonts w:ascii="Arial" w:hAnsi="Arial" w:cs="Arial"/>
          <w:i/>
        </w:rPr>
        <w:t>,</w:t>
      </w:r>
      <w:r w:rsidRPr="006E07FD">
        <w:rPr>
          <w:rFonts w:ascii="Arial" w:hAnsi="Arial" w:cs="Arial"/>
          <w:i/>
        </w:rPr>
        <w:t xml:space="preserve"> 11 (9), art. no. 1082</w:t>
      </w:r>
      <w:r w:rsidR="00866D40">
        <w:rPr>
          <w:rFonts w:ascii="Arial" w:hAnsi="Arial" w:cs="Arial"/>
          <w:i/>
        </w:rPr>
        <w:t>.</w:t>
      </w:r>
    </w:p>
    <w:p w14:paraId="48D29328" w14:textId="1BB92C60" w:rsidR="0059652D" w:rsidRPr="0059652D" w:rsidRDefault="0059652D" w:rsidP="00223207">
      <w:pPr>
        <w:pStyle w:val="RSCR02References"/>
        <w:numPr>
          <w:ilvl w:val="0"/>
          <w:numId w:val="0"/>
        </w:numPr>
        <w:spacing w:line="264" w:lineRule="auto"/>
        <w:ind w:left="284" w:hanging="284"/>
        <w:rPr>
          <w:rFonts w:ascii="Arial" w:hAnsi="Arial" w:cs="Arial"/>
        </w:rPr>
      </w:pPr>
      <w:r>
        <w:rPr>
          <w:rFonts w:ascii="Arial" w:hAnsi="Arial" w:cs="Arial"/>
        </w:rPr>
        <w:t xml:space="preserve">Shan J., Wang Q., Hao H., Guo H., “Critical review on the synthesis of levulinate esters from biomass-based feedstocks and their application”, </w:t>
      </w:r>
      <w:r w:rsidRPr="0059652D">
        <w:rPr>
          <w:rFonts w:ascii="Arial" w:hAnsi="Arial" w:cs="Arial"/>
          <w:i/>
        </w:rPr>
        <w:t>Ind. Eng. Chem. Res. 2023, 62, 17135-17147</w:t>
      </w:r>
      <w:r>
        <w:rPr>
          <w:rFonts w:ascii="Arial" w:hAnsi="Arial" w:cs="Arial"/>
        </w:rPr>
        <w:t xml:space="preserve">. </w:t>
      </w:r>
    </w:p>
    <w:p w14:paraId="5164546D" w14:textId="48AD0601" w:rsidR="00866D40" w:rsidRPr="00866D40" w:rsidRDefault="00866D40" w:rsidP="00223207">
      <w:pPr>
        <w:pStyle w:val="RSCR02References"/>
        <w:numPr>
          <w:ilvl w:val="0"/>
          <w:numId w:val="0"/>
        </w:numPr>
        <w:spacing w:line="264" w:lineRule="auto"/>
        <w:ind w:left="284" w:hanging="284"/>
        <w:rPr>
          <w:rFonts w:ascii="Arial" w:hAnsi="Arial" w:cs="Arial"/>
        </w:rPr>
      </w:pPr>
      <w:r w:rsidRPr="00866D40">
        <w:rPr>
          <w:rFonts w:ascii="Arial" w:hAnsi="Arial" w:cs="Arial"/>
        </w:rPr>
        <w:t>Wang Z., Lei T., Liu L., Zhu J., He X., Li Z., “Performance investigation of a Diesel eng</w:t>
      </w:r>
      <w:r>
        <w:rPr>
          <w:rFonts w:ascii="Arial" w:hAnsi="Arial" w:cs="Arial"/>
        </w:rPr>
        <w:t xml:space="preserve">ine using Ethyl-Levulinate Diesel blends”, </w:t>
      </w:r>
      <w:r w:rsidRPr="00866D40">
        <w:rPr>
          <w:rFonts w:ascii="Arial" w:hAnsi="Arial" w:cs="Arial"/>
          <w:i/>
        </w:rPr>
        <w:t>BioResources 2012, 7, 5972-5982</w:t>
      </w:r>
      <w:r>
        <w:rPr>
          <w:rFonts w:ascii="Arial" w:hAnsi="Arial" w:cs="Arial"/>
        </w:rPr>
        <w:t>.</w:t>
      </w:r>
    </w:p>
    <w:p w14:paraId="1107ACD9" w14:textId="77777777" w:rsidR="00B5654F" w:rsidRPr="00866D40" w:rsidRDefault="00B5654F" w:rsidP="00223207">
      <w:pPr>
        <w:pStyle w:val="RSCR02References"/>
        <w:numPr>
          <w:ilvl w:val="0"/>
          <w:numId w:val="0"/>
        </w:numPr>
        <w:spacing w:line="264" w:lineRule="auto"/>
        <w:ind w:left="284" w:hanging="284"/>
        <w:rPr>
          <w:rFonts w:ascii="Arial" w:hAnsi="Arial" w:cs="Arial"/>
          <w:i/>
        </w:rPr>
      </w:pPr>
    </w:p>
    <w:p w14:paraId="6E7EACBD" w14:textId="77777777" w:rsidR="00775E34" w:rsidRPr="00866D40" w:rsidRDefault="00775E34" w:rsidP="00E01661">
      <w:pPr>
        <w:pStyle w:val="RSCR02References"/>
        <w:numPr>
          <w:ilvl w:val="0"/>
          <w:numId w:val="0"/>
        </w:numPr>
        <w:spacing w:line="264" w:lineRule="auto"/>
        <w:ind w:left="284" w:hanging="284"/>
        <w:rPr>
          <w:rFonts w:ascii="Arial" w:hAnsi="Arial" w:cs="Arial"/>
          <w:i/>
        </w:rPr>
      </w:pPr>
    </w:p>
    <w:p w14:paraId="0CB5B970" w14:textId="77777777" w:rsidR="00775E34" w:rsidRPr="00866D40" w:rsidRDefault="00775E34" w:rsidP="00775E34">
      <w:pPr>
        <w:pStyle w:val="RSCR02References"/>
        <w:numPr>
          <w:ilvl w:val="0"/>
          <w:numId w:val="0"/>
        </w:numPr>
        <w:spacing w:line="264" w:lineRule="auto"/>
        <w:ind w:left="284" w:hanging="284"/>
        <w:rPr>
          <w:rFonts w:ascii="Arial" w:hAnsi="Arial" w:cs="Arial"/>
          <w:i/>
        </w:rPr>
      </w:pPr>
    </w:p>
    <w:p w14:paraId="3297AB05" w14:textId="77777777" w:rsidR="00775E34" w:rsidRPr="00866D40" w:rsidRDefault="00775E34" w:rsidP="00775E34">
      <w:pPr>
        <w:pStyle w:val="RSCR02References"/>
        <w:numPr>
          <w:ilvl w:val="0"/>
          <w:numId w:val="0"/>
        </w:numPr>
        <w:spacing w:line="264" w:lineRule="auto"/>
        <w:ind w:left="284" w:hanging="284"/>
        <w:rPr>
          <w:rFonts w:ascii="Arial" w:hAnsi="Arial" w:cs="Arial"/>
          <w:i/>
        </w:rPr>
      </w:pPr>
      <w:bookmarkStart w:id="1" w:name="_GoBack"/>
      <w:bookmarkEnd w:id="1"/>
    </w:p>
    <w:sectPr w:rsidR="00775E34" w:rsidRPr="00866D4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3D4B3" w14:textId="77777777" w:rsidR="004045A6" w:rsidRDefault="004045A6" w:rsidP="004F5E36">
      <w:r>
        <w:separator/>
      </w:r>
    </w:p>
  </w:endnote>
  <w:endnote w:type="continuationSeparator" w:id="0">
    <w:p w14:paraId="4618BFBE" w14:textId="77777777" w:rsidR="004045A6" w:rsidRDefault="004045A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PDJKF M+ Gulliver">
    <w:altName w:val="Gulliver"/>
    <w:panose1 w:val="00000000000000000000"/>
    <w:charset w:val="00"/>
    <w:family w:val="roman"/>
    <w:notTrueType/>
    <w:pitch w:val="default"/>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DKBM P+ MTSY">
    <w:altName w:val="Arial Unicode MS"/>
    <w:panose1 w:val="00000000000000000000"/>
    <w:charset w:val="81"/>
    <w:family w:val="swiss"/>
    <w:notTrueType/>
    <w:pitch w:val="default"/>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35A30" w14:textId="77777777" w:rsidR="004045A6" w:rsidRDefault="004045A6" w:rsidP="004F5E36">
      <w:r>
        <w:separator/>
      </w:r>
    </w:p>
  </w:footnote>
  <w:footnote w:type="continuationSeparator" w:id="0">
    <w:p w14:paraId="4F43A954" w14:textId="77777777" w:rsidR="004045A6" w:rsidRDefault="004045A6"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E758B7C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7D71FA1"/>
    <w:multiLevelType w:val="hybridMultilevel"/>
    <w:tmpl w:val="0FE663D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563C9"/>
    <w:multiLevelType w:val="hybridMultilevel"/>
    <w:tmpl w:val="E878039A"/>
    <w:lvl w:ilvl="0" w:tplc="1B9A4AE0">
      <w:numFmt w:val="bullet"/>
      <w:lvlText w:val="-"/>
      <w:lvlJc w:val="left"/>
      <w:pPr>
        <w:ind w:left="644" w:hanging="360"/>
      </w:pPr>
      <w:rPr>
        <w:rFonts w:ascii="Times New Roman" w:eastAsia="Times New Roman" w:hAnsi="Times New Roman" w:cs="Times New Roman"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807385"/>
    <w:multiLevelType w:val="hybridMultilevel"/>
    <w:tmpl w:val="EF0AE3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79369C7"/>
    <w:multiLevelType w:val="hybridMultilevel"/>
    <w:tmpl w:val="A6B27936"/>
    <w:lvl w:ilvl="0" w:tplc="EE781828">
      <w:start w:val="1"/>
      <w:numFmt w:val="decimal"/>
      <w:lvlText w:val="%1)"/>
      <w:lvlJc w:val="left"/>
      <w:pPr>
        <w:ind w:left="720" w:hanging="360"/>
      </w:pPr>
      <w:rPr>
        <w:rFonts w:ascii="Times New Roman" w:hAnsi="Times New Roman" w:hint="default"/>
        <w:sz w:val="20"/>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4"/>
  </w:num>
  <w:num w:numId="14">
    <w:abstractNumId w:val="23"/>
  </w:num>
  <w:num w:numId="15">
    <w:abstractNumId w:val="25"/>
  </w:num>
  <w:num w:numId="16">
    <w:abstractNumId w:val="24"/>
  </w:num>
  <w:num w:numId="17">
    <w:abstractNumId w:val="13"/>
  </w:num>
  <w:num w:numId="18">
    <w:abstractNumId w:val="14"/>
    <w:lvlOverride w:ilvl="0">
      <w:startOverride w:val="1"/>
    </w:lvlOverride>
  </w:num>
  <w:num w:numId="19">
    <w:abstractNumId w:val="19"/>
  </w:num>
  <w:num w:numId="20">
    <w:abstractNumId w:val="18"/>
  </w:num>
  <w:num w:numId="21">
    <w:abstractNumId w:val="16"/>
  </w:num>
  <w:num w:numId="22">
    <w:abstractNumId w:val="15"/>
  </w:num>
  <w:num w:numId="23">
    <w:abstractNumId w:val="11"/>
  </w:num>
  <w:num w:numId="24">
    <w:abstractNumId w:val="17"/>
  </w:num>
  <w:num w:numId="25">
    <w:abstractNumId w:val="20"/>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53C"/>
    <w:rsid w:val="000052FB"/>
    <w:rsid w:val="000117CB"/>
    <w:rsid w:val="000256FD"/>
    <w:rsid w:val="00030B26"/>
    <w:rsid w:val="0003148D"/>
    <w:rsid w:val="00031EEC"/>
    <w:rsid w:val="00051566"/>
    <w:rsid w:val="000562A9"/>
    <w:rsid w:val="00062A9A"/>
    <w:rsid w:val="00065058"/>
    <w:rsid w:val="000662C8"/>
    <w:rsid w:val="00072193"/>
    <w:rsid w:val="00076EBF"/>
    <w:rsid w:val="00086C39"/>
    <w:rsid w:val="000A03B2"/>
    <w:rsid w:val="000A0C69"/>
    <w:rsid w:val="000B3102"/>
    <w:rsid w:val="000D0268"/>
    <w:rsid w:val="000D34BE"/>
    <w:rsid w:val="000D6494"/>
    <w:rsid w:val="000D73E9"/>
    <w:rsid w:val="000E102F"/>
    <w:rsid w:val="000E36F1"/>
    <w:rsid w:val="000E3A73"/>
    <w:rsid w:val="000E414A"/>
    <w:rsid w:val="000F093C"/>
    <w:rsid w:val="000F5B5B"/>
    <w:rsid w:val="000F787B"/>
    <w:rsid w:val="00105129"/>
    <w:rsid w:val="0012053B"/>
    <w:rsid w:val="0012091F"/>
    <w:rsid w:val="00126BC2"/>
    <w:rsid w:val="001308B6"/>
    <w:rsid w:val="0013121F"/>
    <w:rsid w:val="00131CCD"/>
    <w:rsid w:val="00131FE6"/>
    <w:rsid w:val="0013263F"/>
    <w:rsid w:val="001331DF"/>
    <w:rsid w:val="00134DE4"/>
    <w:rsid w:val="0014034D"/>
    <w:rsid w:val="00144D16"/>
    <w:rsid w:val="00150E59"/>
    <w:rsid w:val="00152DE3"/>
    <w:rsid w:val="00156F74"/>
    <w:rsid w:val="00164CF9"/>
    <w:rsid w:val="00164E69"/>
    <w:rsid w:val="001667A6"/>
    <w:rsid w:val="00184AD6"/>
    <w:rsid w:val="001949B4"/>
    <w:rsid w:val="001A4AF7"/>
    <w:rsid w:val="001B0349"/>
    <w:rsid w:val="001B1E93"/>
    <w:rsid w:val="001B65C1"/>
    <w:rsid w:val="001C684B"/>
    <w:rsid w:val="001D0CFB"/>
    <w:rsid w:val="001D21AF"/>
    <w:rsid w:val="001D53FC"/>
    <w:rsid w:val="001F26ED"/>
    <w:rsid w:val="001F42A5"/>
    <w:rsid w:val="001F7B9D"/>
    <w:rsid w:val="00201C93"/>
    <w:rsid w:val="002119C0"/>
    <w:rsid w:val="002128C9"/>
    <w:rsid w:val="00216DD2"/>
    <w:rsid w:val="002224B4"/>
    <w:rsid w:val="0022254A"/>
    <w:rsid w:val="00222DB0"/>
    <w:rsid w:val="00223207"/>
    <w:rsid w:val="00223ABC"/>
    <w:rsid w:val="002447EF"/>
    <w:rsid w:val="00245AD0"/>
    <w:rsid w:val="00251550"/>
    <w:rsid w:val="00263B05"/>
    <w:rsid w:val="0027221A"/>
    <w:rsid w:val="00275837"/>
    <w:rsid w:val="00275B61"/>
    <w:rsid w:val="00280910"/>
    <w:rsid w:val="00280FAF"/>
    <w:rsid w:val="00282656"/>
    <w:rsid w:val="0028335E"/>
    <w:rsid w:val="00296B83"/>
    <w:rsid w:val="002B4015"/>
    <w:rsid w:val="002B78CE"/>
    <w:rsid w:val="002C2FB6"/>
    <w:rsid w:val="002E5FA7"/>
    <w:rsid w:val="002F1FE7"/>
    <w:rsid w:val="002F3309"/>
    <w:rsid w:val="003008CE"/>
    <w:rsid w:val="003009B7"/>
    <w:rsid w:val="00300E56"/>
    <w:rsid w:val="0030152C"/>
    <w:rsid w:val="0030469C"/>
    <w:rsid w:val="00321CA6"/>
    <w:rsid w:val="00323763"/>
    <w:rsid w:val="00323C5F"/>
    <w:rsid w:val="00326508"/>
    <w:rsid w:val="00334C09"/>
    <w:rsid w:val="003723D4"/>
    <w:rsid w:val="00381905"/>
    <w:rsid w:val="00384CC8"/>
    <w:rsid w:val="003871FD"/>
    <w:rsid w:val="003A1E30"/>
    <w:rsid w:val="003A2829"/>
    <w:rsid w:val="003A6FC6"/>
    <w:rsid w:val="003A723B"/>
    <w:rsid w:val="003A7D1C"/>
    <w:rsid w:val="003B304B"/>
    <w:rsid w:val="003B3146"/>
    <w:rsid w:val="003D2F2D"/>
    <w:rsid w:val="003E0BED"/>
    <w:rsid w:val="003E4DCB"/>
    <w:rsid w:val="003E7672"/>
    <w:rsid w:val="003F015E"/>
    <w:rsid w:val="00400414"/>
    <w:rsid w:val="004045A6"/>
    <w:rsid w:val="0041446B"/>
    <w:rsid w:val="004220AD"/>
    <w:rsid w:val="0042385E"/>
    <w:rsid w:val="00431884"/>
    <w:rsid w:val="0044071E"/>
    <w:rsid w:val="00440D85"/>
    <w:rsid w:val="0044329C"/>
    <w:rsid w:val="00444146"/>
    <w:rsid w:val="004451E5"/>
    <w:rsid w:val="00450F5F"/>
    <w:rsid w:val="00453E24"/>
    <w:rsid w:val="00457456"/>
    <w:rsid w:val="004577FE"/>
    <w:rsid w:val="00457B9C"/>
    <w:rsid w:val="0046164A"/>
    <w:rsid w:val="004628D2"/>
    <w:rsid w:val="00462DCD"/>
    <w:rsid w:val="004648AD"/>
    <w:rsid w:val="004703A9"/>
    <w:rsid w:val="004760DE"/>
    <w:rsid w:val="004761E9"/>
    <w:rsid w:val="004763D7"/>
    <w:rsid w:val="004A004E"/>
    <w:rsid w:val="004A24CF"/>
    <w:rsid w:val="004A5D2C"/>
    <w:rsid w:val="004A60F7"/>
    <w:rsid w:val="004C3D1D"/>
    <w:rsid w:val="004C3D84"/>
    <w:rsid w:val="004C7913"/>
    <w:rsid w:val="004D122E"/>
    <w:rsid w:val="004D1688"/>
    <w:rsid w:val="004D1884"/>
    <w:rsid w:val="004D74C3"/>
    <w:rsid w:val="004E043A"/>
    <w:rsid w:val="004E4DD6"/>
    <w:rsid w:val="004F5E36"/>
    <w:rsid w:val="0050072E"/>
    <w:rsid w:val="00507B47"/>
    <w:rsid w:val="00507BEF"/>
    <w:rsid w:val="00507CC9"/>
    <w:rsid w:val="005119A5"/>
    <w:rsid w:val="00516AAC"/>
    <w:rsid w:val="005203D4"/>
    <w:rsid w:val="005278B7"/>
    <w:rsid w:val="00532016"/>
    <w:rsid w:val="005346C8"/>
    <w:rsid w:val="00543E7D"/>
    <w:rsid w:val="00547A68"/>
    <w:rsid w:val="005531C9"/>
    <w:rsid w:val="00570C43"/>
    <w:rsid w:val="00575AA4"/>
    <w:rsid w:val="00577E46"/>
    <w:rsid w:val="0059652D"/>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35445"/>
    <w:rsid w:val="0064184D"/>
    <w:rsid w:val="006422CC"/>
    <w:rsid w:val="00657402"/>
    <w:rsid w:val="00660E3E"/>
    <w:rsid w:val="00662E74"/>
    <w:rsid w:val="00665050"/>
    <w:rsid w:val="00671F73"/>
    <w:rsid w:val="00680C23"/>
    <w:rsid w:val="0068605E"/>
    <w:rsid w:val="00693766"/>
    <w:rsid w:val="006A23E9"/>
    <w:rsid w:val="006A3281"/>
    <w:rsid w:val="006A4E1B"/>
    <w:rsid w:val="006B481B"/>
    <w:rsid w:val="006B4888"/>
    <w:rsid w:val="006B4A6B"/>
    <w:rsid w:val="006C2E45"/>
    <w:rsid w:val="006C359C"/>
    <w:rsid w:val="006C5579"/>
    <w:rsid w:val="006C672F"/>
    <w:rsid w:val="006D6E8B"/>
    <w:rsid w:val="006E07FD"/>
    <w:rsid w:val="006E233B"/>
    <w:rsid w:val="006E6126"/>
    <w:rsid w:val="006E737D"/>
    <w:rsid w:val="00703F97"/>
    <w:rsid w:val="00713973"/>
    <w:rsid w:val="007143F4"/>
    <w:rsid w:val="00720A24"/>
    <w:rsid w:val="007274FC"/>
    <w:rsid w:val="00731322"/>
    <w:rsid w:val="00732386"/>
    <w:rsid w:val="0073514D"/>
    <w:rsid w:val="007445A9"/>
    <w:rsid w:val="007447F3"/>
    <w:rsid w:val="0075499F"/>
    <w:rsid w:val="007661C8"/>
    <w:rsid w:val="0077098D"/>
    <w:rsid w:val="00775E34"/>
    <w:rsid w:val="007857DA"/>
    <w:rsid w:val="00785A0B"/>
    <w:rsid w:val="007872B6"/>
    <w:rsid w:val="007931FA"/>
    <w:rsid w:val="00797C5E"/>
    <w:rsid w:val="007A27E8"/>
    <w:rsid w:val="007A4861"/>
    <w:rsid w:val="007A7BBA"/>
    <w:rsid w:val="007B0C50"/>
    <w:rsid w:val="007B48F9"/>
    <w:rsid w:val="007C1A43"/>
    <w:rsid w:val="007D0951"/>
    <w:rsid w:val="007F179A"/>
    <w:rsid w:val="007F5E95"/>
    <w:rsid w:val="007F6D35"/>
    <w:rsid w:val="0080013E"/>
    <w:rsid w:val="00802DC7"/>
    <w:rsid w:val="00813288"/>
    <w:rsid w:val="008168FC"/>
    <w:rsid w:val="00820742"/>
    <w:rsid w:val="00830996"/>
    <w:rsid w:val="008345F1"/>
    <w:rsid w:val="00834CBD"/>
    <w:rsid w:val="00843EAC"/>
    <w:rsid w:val="00843F56"/>
    <w:rsid w:val="00865B07"/>
    <w:rsid w:val="008667EA"/>
    <w:rsid w:val="00866D40"/>
    <w:rsid w:val="00871F93"/>
    <w:rsid w:val="00872E95"/>
    <w:rsid w:val="0087422C"/>
    <w:rsid w:val="0087637F"/>
    <w:rsid w:val="00892AD5"/>
    <w:rsid w:val="008A1512"/>
    <w:rsid w:val="008A1A3F"/>
    <w:rsid w:val="008A69F9"/>
    <w:rsid w:val="008B4AF8"/>
    <w:rsid w:val="008B6D4D"/>
    <w:rsid w:val="008B7C03"/>
    <w:rsid w:val="008D32B9"/>
    <w:rsid w:val="008D433B"/>
    <w:rsid w:val="008D4A16"/>
    <w:rsid w:val="008E566E"/>
    <w:rsid w:val="008F7696"/>
    <w:rsid w:val="0090161A"/>
    <w:rsid w:val="00901EB6"/>
    <w:rsid w:val="00902EDA"/>
    <w:rsid w:val="00904C62"/>
    <w:rsid w:val="00921EF4"/>
    <w:rsid w:val="00922BA8"/>
    <w:rsid w:val="00924DAC"/>
    <w:rsid w:val="00926E5C"/>
    <w:rsid w:val="00927058"/>
    <w:rsid w:val="00937AD9"/>
    <w:rsid w:val="00942750"/>
    <w:rsid w:val="009450CE"/>
    <w:rsid w:val="009459BB"/>
    <w:rsid w:val="00947179"/>
    <w:rsid w:val="0095164B"/>
    <w:rsid w:val="00954090"/>
    <w:rsid w:val="009573E7"/>
    <w:rsid w:val="0096178A"/>
    <w:rsid w:val="00963E05"/>
    <w:rsid w:val="00964A45"/>
    <w:rsid w:val="00967843"/>
    <w:rsid w:val="00967D54"/>
    <w:rsid w:val="00971028"/>
    <w:rsid w:val="009823BA"/>
    <w:rsid w:val="00993B84"/>
    <w:rsid w:val="00996483"/>
    <w:rsid w:val="00996F5A"/>
    <w:rsid w:val="009A658C"/>
    <w:rsid w:val="009B041A"/>
    <w:rsid w:val="009B7C8B"/>
    <w:rsid w:val="009C37C3"/>
    <w:rsid w:val="009C7C86"/>
    <w:rsid w:val="009D2FF7"/>
    <w:rsid w:val="009E77D5"/>
    <w:rsid w:val="009E7884"/>
    <w:rsid w:val="009E788A"/>
    <w:rsid w:val="009F0E08"/>
    <w:rsid w:val="00A1763D"/>
    <w:rsid w:val="00A17CEC"/>
    <w:rsid w:val="00A24D84"/>
    <w:rsid w:val="00A27EF0"/>
    <w:rsid w:val="00A42361"/>
    <w:rsid w:val="00A50B20"/>
    <w:rsid w:val="00A51390"/>
    <w:rsid w:val="00A60D13"/>
    <w:rsid w:val="00A71888"/>
    <w:rsid w:val="00A7221B"/>
    <w:rsid w:val="00A7223D"/>
    <w:rsid w:val="00A72745"/>
    <w:rsid w:val="00A76EFC"/>
    <w:rsid w:val="00A87D50"/>
    <w:rsid w:val="00A91010"/>
    <w:rsid w:val="00A97F29"/>
    <w:rsid w:val="00AA702E"/>
    <w:rsid w:val="00AA7D26"/>
    <w:rsid w:val="00AB0964"/>
    <w:rsid w:val="00AB3381"/>
    <w:rsid w:val="00AB5011"/>
    <w:rsid w:val="00AB57C0"/>
    <w:rsid w:val="00AC7368"/>
    <w:rsid w:val="00AD16B9"/>
    <w:rsid w:val="00AE377D"/>
    <w:rsid w:val="00AF0EBA"/>
    <w:rsid w:val="00B02C8A"/>
    <w:rsid w:val="00B07C6C"/>
    <w:rsid w:val="00B15EBF"/>
    <w:rsid w:val="00B17FBD"/>
    <w:rsid w:val="00B275D4"/>
    <w:rsid w:val="00B278BF"/>
    <w:rsid w:val="00B315A6"/>
    <w:rsid w:val="00B31813"/>
    <w:rsid w:val="00B33365"/>
    <w:rsid w:val="00B370FD"/>
    <w:rsid w:val="00B5654F"/>
    <w:rsid w:val="00B57B36"/>
    <w:rsid w:val="00B57E6F"/>
    <w:rsid w:val="00B8686D"/>
    <w:rsid w:val="00B93F69"/>
    <w:rsid w:val="00B96B4B"/>
    <w:rsid w:val="00BA4DCE"/>
    <w:rsid w:val="00BB1DDC"/>
    <w:rsid w:val="00BC30C9"/>
    <w:rsid w:val="00BD077D"/>
    <w:rsid w:val="00BD2157"/>
    <w:rsid w:val="00BE3E58"/>
    <w:rsid w:val="00C01616"/>
    <w:rsid w:val="00C0162B"/>
    <w:rsid w:val="00C06843"/>
    <w:rsid w:val="00C068ED"/>
    <w:rsid w:val="00C20ED5"/>
    <w:rsid w:val="00C22E0C"/>
    <w:rsid w:val="00C2574B"/>
    <w:rsid w:val="00C345B1"/>
    <w:rsid w:val="00C40142"/>
    <w:rsid w:val="00C4165A"/>
    <w:rsid w:val="00C435C6"/>
    <w:rsid w:val="00C52C3C"/>
    <w:rsid w:val="00C57182"/>
    <w:rsid w:val="00C57863"/>
    <w:rsid w:val="00C640AF"/>
    <w:rsid w:val="00C655FD"/>
    <w:rsid w:val="00C713AC"/>
    <w:rsid w:val="00C75407"/>
    <w:rsid w:val="00C870A8"/>
    <w:rsid w:val="00C94434"/>
    <w:rsid w:val="00CA0D4A"/>
    <w:rsid w:val="00CA0D75"/>
    <w:rsid w:val="00CA1C95"/>
    <w:rsid w:val="00CA5A9C"/>
    <w:rsid w:val="00CB67EC"/>
    <w:rsid w:val="00CC0714"/>
    <w:rsid w:val="00CC4C20"/>
    <w:rsid w:val="00CD1955"/>
    <w:rsid w:val="00CD3517"/>
    <w:rsid w:val="00CD5FE2"/>
    <w:rsid w:val="00CE7C68"/>
    <w:rsid w:val="00D02B4C"/>
    <w:rsid w:val="00D040C4"/>
    <w:rsid w:val="00D14BEE"/>
    <w:rsid w:val="00D157CC"/>
    <w:rsid w:val="00D20AD1"/>
    <w:rsid w:val="00D36355"/>
    <w:rsid w:val="00D46B7E"/>
    <w:rsid w:val="00D503B8"/>
    <w:rsid w:val="00D51891"/>
    <w:rsid w:val="00D52E25"/>
    <w:rsid w:val="00D57C84"/>
    <w:rsid w:val="00D6057D"/>
    <w:rsid w:val="00D64097"/>
    <w:rsid w:val="00D648EC"/>
    <w:rsid w:val="00D7077F"/>
    <w:rsid w:val="00D71640"/>
    <w:rsid w:val="00D836C5"/>
    <w:rsid w:val="00D84576"/>
    <w:rsid w:val="00DA1399"/>
    <w:rsid w:val="00DA24C6"/>
    <w:rsid w:val="00DA4D7B"/>
    <w:rsid w:val="00DB3004"/>
    <w:rsid w:val="00DB3233"/>
    <w:rsid w:val="00DD271C"/>
    <w:rsid w:val="00DE264A"/>
    <w:rsid w:val="00DF417D"/>
    <w:rsid w:val="00DF5072"/>
    <w:rsid w:val="00DF7B2E"/>
    <w:rsid w:val="00E01661"/>
    <w:rsid w:val="00E02D18"/>
    <w:rsid w:val="00E031FA"/>
    <w:rsid w:val="00E041E7"/>
    <w:rsid w:val="00E0560B"/>
    <w:rsid w:val="00E06751"/>
    <w:rsid w:val="00E16A5A"/>
    <w:rsid w:val="00E23CA1"/>
    <w:rsid w:val="00E26470"/>
    <w:rsid w:val="00E32842"/>
    <w:rsid w:val="00E33DD7"/>
    <w:rsid w:val="00E4071F"/>
    <w:rsid w:val="00E409A8"/>
    <w:rsid w:val="00E50C12"/>
    <w:rsid w:val="00E65B91"/>
    <w:rsid w:val="00E670D2"/>
    <w:rsid w:val="00E7209D"/>
    <w:rsid w:val="00E72A23"/>
    <w:rsid w:val="00E72EAD"/>
    <w:rsid w:val="00E77223"/>
    <w:rsid w:val="00E8007A"/>
    <w:rsid w:val="00E8528B"/>
    <w:rsid w:val="00E85B94"/>
    <w:rsid w:val="00E86BA3"/>
    <w:rsid w:val="00E90C1B"/>
    <w:rsid w:val="00E978D0"/>
    <w:rsid w:val="00EA4613"/>
    <w:rsid w:val="00EA7F91"/>
    <w:rsid w:val="00EB1523"/>
    <w:rsid w:val="00EB43CC"/>
    <w:rsid w:val="00EC0963"/>
    <w:rsid w:val="00EC0E49"/>
    <w:rsid w:val="00EC101F"/>
    <w:rsid w:val="00EC1D9F"/>
    <w:rsid w:val="00EC4B8E"/>
    <w:rsid w:val="00EC728F"/>
    <w:rsid w:val="00EE0131"/>
    <w:rsid w:val="00EE17B0"/>
    <w:rsid w:val="00EF06D9"/>
    <w:rsid w:val="00F11F7D"/>
    <w:rsid w:val="00F30398"/>
    <w:rsid w:val="00F3049E"/>
    <w:rsid w:val="00F30C64"/>
    <w:rsid w:val="00F32BA2"/>
    <w:rsid w:val="00F32CDB"/>
    <w:rsid w:val="00F46A1E"/>
    <w:rsid w:val="00F565FE"/>
    <w:rsid w:val="00F63A70"/>
    <w:rsid w:val="00F63D8C"/>
    <w:rsid w:val="00F7534E"/>
    <w:rsid w:val="00F77F4E"/>
    <w:rsid w:val="00F81D1B"/>
    <w:rsid w:val="00F93EDF"/>
    <w:rsid w:val="00FA1802"/>
    <w:rsid w:val="00FA21D0"/>
    <w:rsid w:val="00FA5F5F"/>
    <w:rsid w:val="00FB06F1"/>
    <w:rsid w:val="00FB730C"/>
    <w:rsid w:val="00FC140E"/>
    <w:rsid w:val="00FC14B8"/>
    <w:rsid w:val="00FC2695"/>
    <w:rsid w:val="00FC3E03"/>
    <w:rsid w:val="00FC3FC1"/>
    <w:rsid w:val="00FC7F33"/>
    <w:rsid w:val="00FF49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7778DD"/>
  <w15:docId w15:val="{8E948FB6-CCDF-4032-AB25-87D9600E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E07FD"/>
    <w:pPr>
      <w:keepNext/>
      <w:suppressAutoHyphens/>
      <w:spacing w:before="24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E07FD"/>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link w:val="ParagrafoelencoCarattere"/>
    <w:uiPriority w:val="34"/>
    <w:qFormat/>
    <w:rsid w:val="00280FAF"/>
    <w:pPr>
      <w:ind w:left="720"/>
      <w:contextualSpacing/>
    </w:pPr>
  </w:style>
  <w:style w:type="paragraph" w:customStyle="1" w:styleId="RSCR02References">
    <w:name w:val="RSC R02 References"/>
    <w:basedOn w:val="Normale"/>
    <w:link w:val="RSCR02ReferencesChar"/>
    <w:qFormat/>
    <w:rsid w:val="00E0560B"/>
    <w:pPr>
      <w:numPr>
        <w:numId w:val="24"/>
      </w:numPr>
      <w:tabs>
        <w:tab w:val="clear" w:pos="7100"/>
      </w:tabs>
      <w:spacing w:line="200" w:lineRule="exact"/>
      <w:ind w:left="284" w:hanging="284"/>
    </w:pPr>
    <w:rPr>
      <w:rFonts w:asciiTheme="minorHAnsi" w:eastAsiaTheme="minorHAnsi" w:hAnsiTheme="minorHAnsi"/>
      <w:w w:val="105"/>
      <w:szCs w:val="18"/>
    </w:rPr>
  </w:style>
  <w:style w:type="character" w:customStyle="1" w:styleId="RSCR02ReferencesChar">
    <w:name w:val="RSC R02 References Char"/>
    <w:basedOn w:val="Carpredefinitoparagrafo"/>
    <w:link w:val="RSCR02References"/>
    <w:rsid w:val="00E0560B"/>
    <w:rPr>
      <w:rFonts w:cs="Times New Roman"/>
      <w:w w:val="105"/>
      <w:sz w:val="18"/>
      <w:szCs w:val="18"/>
      <w:lang w:val="en-GB"/>
    </w:rPr>
  </w:style>
  <w:style w:type="character" w:customStyle="1" w:styleId="ParagrafoelencoCarattere">
    <w:name w:val="Paragrafo elenco Carattere"/>
    <w:basedOn w:val="Carpredefinitoparagrafo"/>
    <w:link w:val="Paragrafoelenco"/>
    <w:uiPriority w:val="34"/>
    <w:rsid w:val="000A0C69"/>
    <w:rPr>
      <w:rFonts w:ascii="Arial" w:eastAsia="Times New Roman" w:hAnsi="Arial" w:cs="Times New Roman"/>
      <w:sz w:val="18"/>
      <w:szCs w:val="20"/>
      <w:lang w:val="en-GB"/>
    </w:rPr>
  </w:style>
  <w:style w:type="character" w:customStyle="1" w:styleId="highlight-module1p2so">
    <w:name w:val="highlight-module__1p2so"/>
    <w:basedOn w:val="Carpredefinitoparagrafo"/>
    <w:rsid w:val="000A0C69"/>
  </w:style>
  <w:style w:type="paragraph" w:customStyle="1" w:styleId="MDPI62BackMatter">
    <w:name w:val="MDPI_6.2_BackMatter"/>
    <w:qFormat/>
    <w:rsid w:val="00B96B4B"/>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customStyle="1" w:styleId="Default">
    <w:name w:val="Default"/>
    <w:rsid w:val="00E01661"/>
    <w:pPr>
      <w:autoSpaceDE w:val="0"/>
      <w:autoSpaceDN w:val="0"/>
      <w:adjustRightInd w:val="0"/>
      <w:spacing w:after="0" w:line="240" w:lineRule="auto"/>
    </w:pPr>
    <w:rPr>
      <w:rFonts w:ascii="PDJKF M+ Gulliver" w:hAnsi="PDJKF M+ Gulliver" w:cs="PDJKF M+ Gulliver"/>
      <w:color w:val="000000"/>
      <w:sz w:val="24"/>
      <w:szCs w:val="24"/>
      <w:lang w:val="en-GB"/>
    </w:rPr>
  </w:style>
  <w:style w:type="paragraph" w:customStyle="1" w:styleId="H2">
    <w:name w:val="H2"/>
    <w:basedOn w:val="Normale"/>
    <w:next w:val="Normale"/>
    <w:qFormat/>
    <w:rsid w:val="00EC0963"/>
    <w:pPr>
      <w:shd w:val="clear" w:color="auto" w:fill="DEEAF6"/>
      <w:tabs>
        <w:tab w:val="clear" w:pos="7100"/>
        <w:tab w:val="left" w:pos="709"/>
      </w:tabs>
      <w:spacing w:before="240" w:after="120" w:line="480" w:lineRule="exact"/>
      <w:ind w:left="709" w:hanging="709"/>
      <w:jc w:val="left"/>
    </w:pPr>
    <w:rPr>
      <w:rFonts w:ascii="Times New Roman" w:hAnsi="Times New Roman"/>
      <w:b/>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1\Desktop\IConBM2024\Grafici%20IConBM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1\Desktop\IConBM2024\Grafici%20IConBM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15048118985129"/>
          <c:y val="9.0793259350595998E-2"/>
          <c:w val="0.74207174103237095"/>
          <c:h val="0.71920052216385144"/>
        </c:manualLayout>
      </c:layout>
      <c:scatterChart>
        <c:scatterStyle val="lineMarker"/>
        <c:varyColors val="0"/>
        <c:ser>
          <c:idx val="0"/>
          <c:order val="0"/>
          <c:tx>
            <c:strRef>
              <c:f>'Gasoline-EL'!$B$4</c:f>
              <c:strCache>
                <c:ptCount val="1"/>
                <c:pt idx="0">
                  <c:v>Torque (gasoline)</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xVal>
            <c:numRef>
              <c:f>'Gasoline-EL'!$A$5:$A$12</c:f>
              <c:numCache>
                <c:formatCode>General</c:formatCode>
                <c:ptCount val="8"/>
                <c:pt idx="0">
                  <c:v>1500</c:v>
                </c:pt>
                <c:pt idx="1">
                  <c:v>2000</c:v>
                </c:pt>
                <c:pt idx="2">
                  <c:v>2500</c:v>
                </c:pt>
                <c:pt idx="3">
                  <c:v>3000</c:v>
                </c:pt>
                <c:pt idx="4">
                  <c:v>3500</c:v>
                </c:pt>
                <c:pt idx="5">
                  <c:v>4000</c:v>
                </c:pt>
                <c:pt idx="6">
                  <c:v>4500</c:v>
                </c:pt>
                <c:pt idx="7">
                  <c:v>5000</c:v>
                </c:pt>
              </c:numCache>
            </c:numRef>
          </c:xVal>
          <c:yVal>
            <c:numRef>
              <c:f>'Gasoline-EL'!$B$5:$B$12</c:f>
              <c:numCache>
                <c:formatCode>General</c:formatCode>
                <c:ptCount val="8"/>
                <c:pt idx="0">
                  <c:v>70.5</c:v>
                </c:pt>
                <c:pt idx="1">
                  <c:v>74</c:v>
                </c:pt>
                <c:pt idx="2">
                  <c:v>74.7</c:v>
                </c:pt>
                <c:pt idx="3">
                  <c:v>78</c:v>
                </c:pt>
                <c:pt idx="4">
                  <c:v>82.5</c:v>
                </c:pt>
                <c:pt idx="5">
                  <c:v>87.7</c:v>
                </c:pt>
                <c:pt idx="6">
                  <c:v>85.5</c:v>
                </c:pt>
                <c:pt idx="7">
                  <c:v>80</c:v>
                </c:pt>
              </c:numCache>
            </c:numRef>
          </c:yVal>
          <c:smooth val="0"/>
          <c:extLst>
            <c:ext xmlns:c16="http://schemas.microsoft.com/office/drawing/2014/chart" uri="{C3380CC4-5D6E-409C-BE32-E72D297353CC}">
              <c16:uniqueId val="{00000000-806C-405D-AFFC-B28DB6ABE10E}"/>
            </c:ext>
          </c:extLst>
        </c:ser>
        <c:ser>
          <c:idx val="1"/>
          <c:order val="1"/>
          <c:tx>
            <c:strRef>
              <c:f>'Gasoline-EL'!$C$4</c:f>
              <c:strCache>
                <c:ptCount val="1"/>
                <c:pt idx="0">
                  <c:v>Torque (EL 10%)</c:v>
                </c:pt>
              </c:strCache>
            </c:strRef>
          </c:tx>
          <c:spPr>
            <a:ln w="19050" cap="rnd">
              <a:solidFill>
                <a:schemeClr val="tx1"/>
              </a:solidFill>
              <a:prstDash val="sysDash"/>
              <a:round/>
            </a:ln>
            <a:effectLst/>
          </c:spPr>
          <c:marker>
            <c:symbol val="diamond"/>
            <c:size val="5"/>
            <c:spPr>
              <a:solidFill>
                <a:schemeClr val="tx1"/>
              </a:solidFill>
              <a:ln w="15875">
                <a:solidFill>
                  <a:schemeClr val="tx1"/>
                </a:solidFill>
              </a:ln>
              <a:effectLst/>
            </c:spPr>
          </c:marker>
          <c:xVal>
            <c:numRef>
              <c:f>'Gasoline-EL'!$A$5:$A$12</c:f>
              <c:numCache>
                <c:formatCode>General</c:formatCode>
                <c:ptCount val="8"/>
                <c:pt idx="0">
                  <c:v>1500</c:v>
                </c:pt>
                <c:pt idx="1">
                  <c:v>2000</c:v>
                </c:pt>
                <c:pt idx="2">
                  <c:v>2500</c:v>
                </c:pt>
                <c:pt idx="3">
                  <c:v>3000</c:v>
                </c:pt>
                <c:pt idx="4">
                  <c:v>3500</c:v>
                </c:pt>
                <c:pt idx="5">
                  <c:v>4000</c:v>
                </c:pt>
                <c:pt idx="6">
                  <c:v>4500</c:v>
                </c:pt>
                <c:pt idx="7">
                  <c:v>5000</c:v>
                </c:pt>
              </c:numCache>
            </c:numRef>
          </c:xVal>
          <c:yVal>
            <c:numRef>
              <c:f>'Gasoline-EL'!$C$5:$C$12</c:f>
              <c:numCache>
                <c:formatCode>General</c:formatCode>
                <c:ptCount val="8"/>
                <c:pt idx="0">
                  <c:v>71</c:v>
                </c:pt>
                <c:pt idx="1">
                  <c:v>72</c:v>
                </c:pt>
                <c:pt idx="2">
                  <c:v>75</c:v>
                </c:pt>
                <c:pt idx="3">
                  <c:v>78</c:v>
                </c:pt>
                <c:pt idx="4">
                  <c:v>80</c:v>
                </c:pt>
                <c:pt idx="5">
                  <c:v>86</c:v>
                </c:pt>
                <c:pt idx="6">
                  <c:v>84</c:v>
                </c:pt>
                <c:pt idx="7">
                  <c:v>79</c:v>
                </c:pt>
              </c:numCache>
            </c:numRef>
          </c:yVal>
          <c:smooth val="0"/>
          <c:extLst>
            <c:ext xmlns:c16="http://schemas.microsoft.com/office/drawing/2014/chart" uri="{C3380CC4-5D6E-409C-BE32-E72D297353CC}">
              <c16:uniqueId val="{00000001-806C-405D-AFFC-B28DB6ABE10E}"/>
            </c:ext>
          </c:extLst>
        </c:ser>
        <c:dLbls>
          <c:showLegendKey val="0"/>
          <c:showVal val="0"/>
          <c:showCatName val="0"/>
          <c:showSerName val="0"/>
          <c:showPercent val="0"/>
          <c:showBubbleSize val="0"/>
        </c:dLbls>
        <c:axId val="191706624"/>
        <c:axId val="200039040"/>
      </c:scatterChart>
      <c:scatterChart>
        <c:scatterStyle val="lineMarker"/>
        <c:varyColors val="0"/>
        <c:ser>
          <c:idx val="2"/>
          <c:order val="2"/>
          <c:tx>
            <c:strRef>
              <c:f>'Gasoline-EL'!$D$4</c:f>
              <c:strCache>
                <c:ptCount val="1"/>
                <c:pt idx="0">
                  <c:v>Power (gasoline)</c:v>
                </c:pt>
              </c:strCache>
            </c:strRef>
          </c:tx>
          <c:spPr>
            <a:ln w="15875" cap="rnd">
              <a:solidFill>
                <a:schemeClr val="tx1"/>
              </a:solidFill>
              <a:round/>
            </a:ln>
            <a:effectLst/>
          </c:spPr>
          <c:marker>
            <c:symbol val="triangle"/>
            <c:size val="5"/>
            <c:spPr>
              <a:noFill/>
              <a:ln w="15875">
                <a:solidFill>
                  <a:schemeClr val="tx1"/>
                </a:solidFill>
              </a:ln>
              <a:effectLst/>
            </c:spPr>
          </c:marker>
          <c:xVal>
            <c:numRef>
              <c:f>'Gasoline-EL'!$A$5:$A$12</c:f>
              <c:numCache>
                <c:formatCode>General</c:formatCode>
                <c:ptCount val="8"/>
                <c:pt idx="0">
                  <c:v>1500</c:v>
                </c:pt>
                <c:pt idx="1">
                  <c:v>2000</c:v>
                </c:pt>
                <c:pt idx="2">
                  <c:v>2500</c:v>
                </c:pt>
                <c:pt idx="3">
                  <c:v>3000</c:v>
                </c:pt>
                <c:pt idx="4">
                  <c:v>3500</c:v>
                </c:pt>
                <c:pt idx="5">
                  <c:v>4000</c:v>
                </c:pt>
                <c:pt idx="6">
                  <c:v>4500</c:v>
                </c:pt>
                <c:pt idx="7">
                  <c:v>5000</c:v>
                </c:pt>
              </c:numCache>
            </c:numRef>
          </c:xVal>
          <c:yVal>
            <c:numRef>
              <c:f>'Gasoline-EL'!$D$5:$D$12</c:f>
              <c:numCache>
                <c:formatCode>General</c:formatCode>
                <c:ptCount val="8"/>
                <c:pt idx="0">
                  <c:v>11.1</c:v>
                </c:pt>
                <c:pt idx="1">
                  <c:v>15.3</c:v>
                </c:pt>
                <c:pt idx="2">
                  <c:v>19.5</c:v>
                </c:pt>
                <c:pt idx="3">
                  <c:v>24.5</c:v>
                </c:pt>
                <c:pt idx="4">
                  <c:v>30.2</c:v>
                </c:pt>
                <c:pt idx="5">
                  <c:v>36.6</c:v>
                </c:pt>
                <c:pt idx="6">
                  <c:v>40</c:v>
                </c:pt>
                <c:pt idx="7">
                  <c:v>42</c:v>
                </c:pt>
              </c:numCache>
            </c:numRef>
          </c:yVal>
          <c:smooth val="0"/>
          <c:extLst>
            <c:ext xmlns:c16="http://schemas.microsoft.com/office/drawing/2014/chart" uri="{C3380CC4-5D6E-409C-BE32-E72D297353CC}">
              <c16:uniqueId val="{00000002-806C-405D-AFFC-B28DB6ABE10E}"/>
            </c:ext>
          </c:extLst>
        </c:ser>
        <c:ser>
          <c:idx val="3"/>
          <c:order val="3"/>
          <c:tx>
            <c:strRef>
              <c:f>'Gasoline-EL'!$E$4</c:f>
              <c:strCache>
                <c:ptCount val="1"/>
                <c:pt idx="0">
                  <c:v>Power (EL 10%)</c:v>
                </c:pt>
              </c:strCache>
            </c:strRef>
          </c:tx>
          <c:spPr>
            <a:ln w="15875" cap="rnd">
              <a:solidFill>
                <a:schemeClr val="tx1"/>
              </a:solidFill>
              <a:prstDash val="sysDash"/>
              <a:round/>
            </a:ln>
            <a:effectLst/>
          </c:spPr>
          <c:marker>
            <c:symbol val="square"/>
            <c:size val="5"/>
            <c:spPr>
              <a:noFill/>
              <a:ln w="12700">
                <a:solidFill>
                  <a:schemeClr val="tx1"/>
                </a:solidFill>
              </a:ln>
              <a:effectLst/>
            </c:spPr>
          </c:marker>
          <c:xVal>
            <c:numRef>
              <c:f>'Gasoline-EL'!$A$5:$A$12</c:f>
              <c:numCache>
                <c:formatCode>General</c:formatCode>
                <c:ptCount val="8"/>
                <c:pt idx="0">
                  <c:v>1500</c:v>
                </c:pt>
                <c:pt idx="1">
                  <c:v>2000</c:v>
                </c:pt>
                <c:pt idx="2">
                  <c:v>2500</c:v>
                </c:pt>
                <c:pt idx="3">
                  <c:v>3000</c:v>
                </c:pt>
                <c:pt idx="4">
                  <c:v>3500</c:v>
                </c:pt>
                <c:pt idx="5">
                  <c:v>4000</c:v>
                </c:pt>
                <c:pt idx="6">
                  <c:v>4500</c:v>
                </c:pt>
                <c:pt idx="7">
                  <c:v>5000</c:v>
                </c:pt>
              </c:numCache>
            </c:numRef>
          </c:xVal>
          <c:yVal>
            <c:numRef>
              <c:f>'Gasoline-EL'!$E$5:$E$12</c:f>
              <c:numCache>
                <c:formatCode>General</c:formatCode>
                <c:ptCount val="8"/>
                <c:pt idx="0">
                  <c:v>11</c:v>
                </c:pt>
                <c:pt idx="1">
                  <c:v>15.8</c:v>
                </c:pt>
                <c:pt idx="2">
                  <c:v>19</c:v>
                </c:pt>
                <c:pt idx="3">
                  <c:v>24.2</c:v>
                </c:pt>
                <c:pt idx="4">
                  <c:v>29.3</c:v>
                </c:pt>
                <c:pt idx="5">
                  <c:v>35</c:v>
                </c:pt>
                <c:pt idx="6">
                  <c:v>39.800000000000004</c:v>
                </c:pt>
                <c:pt idx="7">
                  <c:v>42.1</c:v>
                </c:pt>
              </c:numCache>
            </c:numRef>
          </c:yVal>
          <c:smooth val="0"/>
          <c:extLst>
            <c:ext xmlns:c16="http://schemas.microsoft.com/office/drawing/2014/chart" uri="{C3380CC4-5D6E-409C-BE32-E72D297353CC}">
              <c16:uniqueId val="{00000003-806C-405D-AFFC-B28DB6ABE10E}"/>
            </c:ext>
          </c:extLst>
        </c:ser>
        <c:dLbls>
          <c:showLegendKey val="0"/>
          <c:showVal val="0"/>
          <c:showCatName val="0"/>
          <c:showSerName val="0"/>
          <c:showPercent val="0"/>
          <c:showBubbleSize val="0"/>
        </c:dLbls>
        <c:axId val="191731200"/>
        <c:axId val="222352512"/>
      </c:scatterChart>
      <c:valAx>
        <c:axId val="1917066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b="1"/>
                  <a:t>rpm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0039040"/>
        <c:crosses val="autoZero"/>
        <c:crossBetween val="midCat"/>
      </c:valAx>
      <c:valAx>
        <c:axId val="200039040"/>
        <c:scaling>
          <c:orientation val="minMax"/>
          <c:min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b="1"/>
                  <a:t>Torque (Nm)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1706624"/>
        <c:crosses val="autoZero"/>
        <c:crossBetween val="midCat"/>
      </c:valAx>
      <c:valAx>
        <c:axId val="222352512"/>
        <c:scaling>
          <c:orientation val="minMax"/>
          <c:max val="70"/>
        </c:scaling>
        <c:delete val="0"/>
        <c:axPos val="r"/>
        <c:title>
          <c:tx>
            <c:rich>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b="1"/>
                  <a:t>Power (kW)</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1731200"/>
        <c:crosses val="max"/>
        <c:crossBetween val="midCat"/>
      </c:valAx>
      <c:valAx>
        <c:axId val="191731200"/>
        <c:scaling>
          <c:orientation val="minMax"/>
        </c:scaling>
        <c:delete val="1"/>
        <c:axPos val="b"/>
        <c:numFmt formatCode="General" sourceLinked="1"/>
        <c:majorTickMark val="out"/>
        <c:minorTickMark val="none"/>
        <c:tickLblPos val="nextTo"/>
        <c:crossAx val="222352512"/>
        <c:crosses val="autoZero"/>
        <c:crossBetween val="midCat"/>
      </c:valAx>
      <c:spPr>
        <a:noFill/>
        <a:ln>
          <a:noFill/>
        </a:ln>
        <a:effectLst/>
      </c:spPr>
    </c:plotArea>
    <c:legend>
      <c:legendPos val="b"/>
      <c:layout>
        <c:manualLayout>
          <c:xMode val="edge"/>
          <c:yMode val="edge"/>
          <c:x val="0.14622192419099514"/>
          <c:y val="2.0723856886310284E-2"/>
          <c:w val="0.71506266721049683"/>
          <c:h val="0.16812898387701544"/>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15048118985129"/>
          <c:y val="5.0925925925925923E-2"/>
          <c:w val="0.73006014873140856"/>
          <c:h val="0.77120208967167703"/>
        </c:manualLayout>
      </c:layout>
      <c:scatterChart>
        <c:scatterStyle val="lineMarker"/>
        <c:varyColors val="0"/>
        <c:ser>
          <c:idx val="0"/>
          <c:order val="0"/>
          <c:tx>
            <c:strRef>
              <c:f>'Gasoline-EL'!$B$27</c:f>
              <c:strCache>
                <c:ptCount val="1"/>
                <c:pt idx="0">
                  <c:v>HC (gasoline)</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xVal>
            <c:numRef>
              <c:f>'Gasoline-EL'!$A$28:$A$34</c:f>
              <c:numCache>
                <c:formatCode>General</c:formatCode>
                <c:ptCount val="7"/>
                <c:pt idx="0">
                  <c:v>1500</c:v>
                </c:pt>
                <c:pt idx="1">
                  <c:v>2000</c:v>
                </c:pt>
                <c:pt idx="2">
                  <c:v>2500</c:v>
                </c:pt>
                <c:pt idx="3">
                  <c:v>3000</c:v>
                </c:pt>
                <c:pt idx="4">
                  <c:v>3500</c:v>
                </c:pt>
                <c:pt idx="5">
                  <c:v>4000</c:v>
                </c:pt>
                <c:pt idx="6">
                  <c:v>4500</c:v>
                </c:pt>
              </c:numCache>
            </c:numRef>
          </c:xVal>
          <c:yVal>
            <c:numRef>
              <c:f>'Gasoline-EL'!$B$28:$B$34</c:f>
              <c:numCache>
                <c:formatCode>General</c:formatCode>
                <c:ptCount val="7"/>
                <c:pt idx="0">
                  <c:v>305</c:v>
                </c:pt>
                <c:pt idx="1">
                  <c:v>285</c:v>
                </c:pt>
                <c:pt idx="2">
                  <c:v>280</c:v>
                </c:pt>
                <c:pt idx="3">
                  <c:v>250</c:v>
                </c:pt>
                <c:pt idx="4">
                  <c:v>180</c:v>
                </c:pt>
                <c:pt idx="5">
                  <c:v>145</c:v>
                </c:pt>
                <c:pt idx="6">
                  <c:v>264</c:v>
                </c:pt>
              </c:numCache>
            </c:numRef>
          </c:yVal>
          <c:smooth val="0"/>
          <c:extLst>
            <c:ext xmlns:c16="http://schemas.microsoft.com/office/drawing/2014/chart" uri="{C3380CC4-5D6E-409C-BE32-E72D297353CC}">
              <c16:uniqueId val="{00000000-4116-458E-B9AF-B3ED89216EAD}"/>
            </c:ext>
          </c:extLst>
        </c:ser>
        <c:ser>
          <c:idx val="1"/>
          <c:order val="1"/>
          <c:tx>
            <c:strRef>
              <c:f>'Gasoline-EL'!$C$27</c:f>
              <c:strCache>
                <c:ptCount val="1"/>
                <c:pt idx="0">
                  <c:v>HC (EL 10%)</c:v>
                </c:pt>
              </c:strCache>
            </c:strRef>
          </c:tx>
          <c:spPr>
            <a:ln w="19050" cap="rnd">
              <a:solidFill>
                <a:schemeClr val="tx1"/>
              </a:solidFill>
              <a:prstDash val="sysDash"/>
              <a:round/>
            </a:ln>
            <a:effectLst/>
          </c:spPr>
          <c:marker>
            <c:symbol val="diamond"/>
            <c:size val="5"/>
            <c:spPr>
              <a:solidFill>
                <a:schemeClr val="tx1"/>
              </a:solidFill>
              <a:ln w="9525">
                <a:solidFill>
                  <a:schemeClr val="tx1"/>
                </a:solidFill>
              </a:ln>
              <a:effectLst/>
            </c:spPr>
          </c:marker>
          <c:xVal>
            <c:numRef>
              <c:f>'Gasoline-EL'!$A$28:$A$34</c:f>
              <c:numCache>
                <c:formatCode>General</c:formatCode>
                <c:ptCount val="7"/>
                <c:pt idx="0">
                  <c:v>1500</c:v>
                </c:pt>
                <c:pt idx="1">
                  <c:v>2000</c:v>
                </c:pt>
                <c:pt idx="2">
                  <c:v>2500</c:v>
                </c:pt>
                <c:pt idx="3">
                  <c:v>3000</c:v>
                </c:pt>
                <c:pt idx="4">
                  <c:v>3500</c:v>
                </c:pt>
                <c:pt idx="5">
                  <c:v>4000</c:v>
                </c:pt>
                <c:pt idx="6">
                  <c:v>4500</c:v>
                </c:pt>
              </c:numCache>
            </c:numRef>
          </c:xVal>
          <c:yVal>
            <c:numRef>
              <c:f>'Gasoline-EL'!$C$28:$C$34</c:f>
              <c:numCache>
                <c:formatCode>General</c:formatCode>
                <c:ptCount val="7"/>
                <c:pt idx="0">
                  <c:v>255</c:v>
                </c:pt>
                <c:pt idx="1">
                  <c:v>224</c:v>
                </c:pt>
                <c:pt idx="2">
                  <c:v>180</c:v>
                </c:pt>
                <c:pt idx="3">
                  <c:v>160</c:v>
                </c:pt>
                <c:pt idx="4">
                  <c:v>128</c:v>
                </c:pt>
                <c:pt idx="5">
                  <c:v>130</c:v>
                </c:pt>
                <c:pt idx="6">
                  <c:v>250</c:v>
                </c:pt>
              </c:numCache>
            </c:numRef>
          </c:yVal>
          <c:smooth val="0"/>
          <c:extLst>
            <c:ext xmlns:c16="http://schemas.microsoft.com/office/drawing/2014/chart" uri="{C3380CC4-5D6E-409C-BE32-E72D297353CC}">
              <c16:uniqueId val="{00000001-4116-458E-B9AF-B3ED89216EAD}"/>
            </c:ext>
          </c:extLst>
        </c:ser>
        <c:dLbls>
          <c:showLegendKey val="0"/>
          <c:showVal val="0"/>
          <c:showCatName val="0"/>
          <c:showSerName val="0"/>
          <c:showPercent val="0"/>
          <c:showBubbleSize val="0"/>
        </c:dLbls>
        <c:axId val="191754240"/>
        <c:axId val="191756544"/>
      </c:scatterChart>
      <c:scatterChart>
        <c:scatterStyle val="lineMarker"/>
        <c:varyColors val="0"/>
        <c:ser>
          <c:idx val="2"/>
          <c:order val="2"/>
          <c:tx>
            <c:strRef>
              <c:f>'Gasoline-EL'!$D$27</c:f>
              <c:strCache>
                <c:ptCount val="1"/>
                <c:pt idx="0">
                  <c:v>CO (gasoline)</c:v>
                </c:pt>
              </c:strCache>
            </c:strRef>
          </c:tx>
          <c:spPr>
            <a:ln w="19050" cap="rnd">
              <a:solidFill>
                <a:schemeClr val="tx1"/>
              </a:solidFill>
              <a:round/>
            </a:ln>
            <a:effectLst/>
          </c:spPr>
          <c:marker>
            <c:symbol val="triangle"/>
            <c:size val="5"/>
            <c:spPr>
              <a:noFill/>
              <a:ln w="12700">
                <a:solidFill>
                  <a:schemeClr val="tx1"/>
                </a:solidFill>
              </a:ln>
              <a:effectLst/>
            </c:spPr>
          </c:marker>
          <c:xVal>
            <c:numRef>
              <c:f>'Gasoline-EL'!$A$28:$A$34</c:f>
              <c:numCache>
                <c:formatCode>General</c:formatCode>
                <c:ptCount val="7"/>
                <c:pt idx="0">
                  <c:v>1500</c:v>
                </c:pt>
                <c:pt idx="1">
                  <c:v>2000</c:v>
                </c:pt>
                <c:pt idx="2">
                  <c:v>2500</c:v>
                </c:pt>
                <c:pt idx="3">
                  <c:v>3000</c:v>
                </c:pt>
                <c:pt idx="4">
                  <c:v>3500</c:v>
                </c:pt>
                <c:pt idx="5">
                  <c:v>4000</c:v>
                </c:pt>
                <c:pt idx="6">
                  <c:v>4500</c:v>
                </c:pt>
              </c:numCache>
            </c:numRef>
          </c:xVal>
          <c:yVal>
            <c:numRef>
              <c:f>'Gasoline-EL'!$D$28:$D$34</c:f>
              <c:numCache>
                <c:formatCode>General</c:formatCode>
                <c:ptCount val="7"/>
                <c:pt idx="0">
                  <c:v>0.35000000000000026</c:v>
                </c:pt>
                <c:pt idx="1">
                  <c:v>0.42000000000000026</c:v>
                </c:pt>
                <c:pt idx="2">
                  <c:v>0.5</c:v>
                </c:pt>
                <c:pt idx="3">
                  <c:v>0.5</c:v>
                </c:pt>
                <c:pt idx="4">
                  <c:v>0.30000000000000027</c:v>
                </c:pt>
                <c:pt idx="5">
                  <c:v>0.30000000000000027</c:v>
                </c:pt>
                <c:pt idx="6">
                  <c:v>0.45</c:v>
                </c:pt>
              </c:numCache>
            </c:numRef>
          </c:yVal>
          <c:smooth val="0"/>
          <c:extLst>
            <c:ext xmlns:c16="http://schemas.microsoft.com/office/drawing/2014/chart" uri="{C3380CC4-5D6E-409C-BE32-E72D297353CC}">
              <c16:uniqueId val="{00000002-4116-458E-B9AF-B3ED89216EAD}"/>
            </c:ext>
          </c:extLst>
        </c:ser>
        <c:ser>
          <c:idx val="3"/>
          <c:order val="3"/>
          <c:tx>
            <c:strRef>
              <c:f>'Gasoline-EL'!$E$27</c:f>
              <c:strCache>
                <c:ptCount val="1"/>
                <c:pt idx="0">
                  <c:v>CO (EL 10%)</c:v>
                </c:pt>
              </c:strCache>
            </c:strRef>
          </c:tx>
          <c:spPr>
            <a:ln w="15875" cap="rnd">
              <a:solidFill>
                <a:schemeClr val="tx1"/>
              </a:solidFill>
              <a:prstDash val="sysDash"/>
              <a:round/>
            </a:ln>
            <a:effectLst/>
          </c:spPr>
          <c:marker>
            <c:symbol val="square"/>
            <c:size val="5"/>
            <c:spPr>
              <a:noFill/>
              <a:ln w="12700">
                <a:solidFill>
                  <a:schemeClr val="tx1"/>
                </a:solidFill>
              </a:ln>
              <a:effectLst/>
            </c:spPr>
          </c:marker>
          <c:xVal>
            <c:numRef>
              <c:f>'Gasoline-EL'!$A$28:$A$34</c:f>
              <c:numCache>
                <c:formatCode>General</c:formatCode>
                <c:ptCount val="7"/>
                <c:pt idx="0">
                  <c:v>1500</c:v>
                </c:pt>
                <c:pt idx="1">
                  <c:v>2000</c:v>
                </c:pt>
                <c:pt idx="2">
                  <c:v>2500</c:v>
                </c:pt>
                <c:pt idx="3">
                  <c:v>3000</c:v>
                </c:pt>
                <c:pt idx="4">
                  <c:v>3500</c:v>
                </c:pt>
                <c:pt idx="5">
                  <c:v>4000</c:v>
                </c:pt>
                <c:pt idx="6">
                  <c:v>4500</c:v>
                </c:pt>
              </c:numCache>
            </c:numRef>
          </c:xVal>
          <c:yVal>
            <c:numRef>
              <c:f>'Gasoline-EL'!$E$28:$E$34</c:f>
              <c:numCache>
                <c:formatCode>General</c:formatCode>
                <c:ptCount val="7"/>
                <c:pt idx="0">
                  <c:v>0.30000000000000027</c:v>
                </c:pt>
                <c:pt idx="1">
                  <c:v>0.35000000000000026</c:v>
                </c:pt>
                <c:pt idx="2">
                  <c:v>0.38000000000000034</c:v>
                </c:pt>
                <c:pt idx="3">
                  <c:v>0.28000000000000008</c:v>
                </c:pt>
                <c:pt idx="4">
                  <c:v>0.30000000000000027</c:v>
                </c:pt>
                <c:pt idx="5">
                  <c:v>0.35000000000000026</c:v>
                </c:pt>
                <c:pt idx="6">
                  <c:v>0.5</c:v>
                </c:pt>
              </c:numCache>
            </c:numRef>
          </c:yVal>
          <c:smooth val="0"/>
          <c:extLst>
            <c:ext xmlns:c16="http://schemas.microsoft.com/office/drawing/2014/chart" uri="{C3380CC4-5D6E-409C-BE32-E72D297353CC}">
              <c16:uniqueId val="{00000003-4116-458E-B9AF-B3ED89216EAD}"/>
            </c:ext>
          </c:extLst>
        </c:ser>
        <c:dLbls>
          <c:showLegendKey val="0"/>
          <c:showVal val="0"/>
          <c:showCatName val="0"/>
          <c:showSerName val="0"/>
          <c:showPercent val="0"/>
          <c:showBubbleSize val="0"/>
        </c:dLbls>
        <c:axId val="191891712"/>
        <c:axId val="191889792"/>
      </c:scatterChart>
      <c:valAx>
        <c:axId val="1917542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en-GB" b="1"/>
                  <a:t>rpm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91756544"/>
        <c:crosses val="autoZero"/>
        <c:crossBetween val="midCat"/>
      </c:valAx>
      <c:valAx>
        <c:axId val="191756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en-GB" b="1"/>
                  <a:t>HC (ppm)</a:t>
                </a:r>
              </a:p>
            </c:rich>
          </c:tx>
          <c:layout>
            <c:manualLayout>
              <c:xMode val="edge"/>
              <c:yMode val="edge"/>
              <c:x val="1.1651490181063521E-2"/>
              <c:y val="0.3561667207706424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91754240"/>
        <c:crosses val="autoZero"/>
        <c:crossBetween val="midCat"/>
      </c:valAx>
      <c:valAx>
        <c:axId val="191889792"/>
        <c:scaling>
          <c:orientation val="minMax"/>
          <c:max val="1"/>
        </c:scaling>
        <c:delete val="0"/>
        <c:axPos val="r"/>
        <c:title>
          <c:tx>
            <c:rich>
              <a:bodyPr rot="-54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en-GB" b="1"/>
                  <a:t>CO (vol. %)</a:t>
                </a:r>
              </a:p>
            </c:rich>
          </c:tx>
          <c:layout>
            <c:manualLayout>
              <c:xMode val="edge"/>
              <c:yMode val="edge"/>
              <c:x val="0.94333455411096856"/>
              <c:y val="0.32331076065156339"/>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91891712"/>
        <c:crosses val="max"/>
        <c:crossBetween val="midCat"/>
      </c:valAx>
      <c:valAx>
        <c:axId val="191891712"/>
        <c:scaling>
          <c:orientation val="minMax"/>
        </c:scaling>
        <c:delete val="1"/>
        <c:axPos val="b"/>
        <c:numFmt formatCode="General" sourceLinked="1"/>
        <c:majorTickMark val="out"/>
        <c:minorTickMark val="none"/>
        <c:tickLblPos val="nextTo"/>
        <c:crossAx val="191889792"/>
        <c:crosses val="autoZero"/>
        <c:crossBetween val="midCat"/>
      </c:valAx>
      <c:spPr>
        <a:noFill/>
        <a:ln>
          <a:noFill/>
        </a:ln>
        <a:effectLst/>
      </c:spPr>
    </c:plotArea>
    <c:legend>
      <c:legendPos val="b"/>
      <c:layout>
        <c:manualLayout>
          <c:xMode val="edge"/>
          <c:yMode val="edge"/>
          <c:x val="0.19843222119108511"/>
          <c:y val="0.63870080911700744"/>
          <c:w val="0.61126389328183872"/>
          <c:h val="0.17809504581158145"/>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8AF25-E3F9-4F75-B8D3-554ABEC7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2788</Words>
  <Characters>15896</Characters>
  <Application>Microsoft Office Word</Application>
  <DocSecurity>0</DocSecurity>
  <Lines>132</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pc1</cp:lastModifiedBy>
  <cp:revision>30</cp:revision>
  <cp:lastPrinted>2015-05-12T18:31:00Z</cp:lastPrinted>
  <dcterms:created xsi:type="dcterms:W3CDTF">2024-02-27T15:22:00Z</dcterms:created>
  <dcterms:modified xsi:type="dcterms:W3CDTF">2024-02-29T07:31:00Z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